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A/289/2008 vom 5. April 2004</w:t>
      </w:r>
    </w:p>
    <w:p>
      <w:r>
        <w:t>GE Cour de justice, 2004-04-05, FR</w:t>
      </w:r>
    </w:p>
    <w:p>
      <w:r>
        <w:rPr>
          <w:b/>
        </w:rPr>
        <w:t xml:space="preserve">Quelle: </w:t>
      </w:r>
      <w:r>
        <w:t>https://mcp.opencaselaw.ch/entscheid/ge_gerichte_A_289_2008</w:t>
      </w:r>
    </w:p>
    <w:p>
      <w:r>
        <w:t>FR: GE_GERICHTE A/289/2008 du 5 avril 2004</w:t>
      </w:r>
    </w:p>
    <w:p>
      <w:r>
        <w:t>IT: GE_GERICHTE A/289/2008 del 5 aprile 2004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18.03.2008 A/289/2008</w:t>
      </w:r>
    </w:p>
    <w:p>
      <w:r>
        <w:t>A/289/2008 ATAS/335/2008 du 18.03.2008 ( AI ) , RETIRE RÉPUBLIQUE ET CANTON DE GENÈVE POUVOIR JUDICIAIRE A/289/2008 ATAS/335/2008 ARRET DU TRIBUNAL CANTONAL DES ASSURANCES SOCIALES Chambre 1 du 18 mars 2008 En la cause Monsieur A__________, domicilié au LIGNON, représenté par FORUM SANTE Mme Christine BULLIARD recourant contre OFFICE CANTONAL DE L'ASSURANCE-INVALIDITE, sis rue de Lyon 97, GENEVE intimé Attendu en fait que par décision du 5 avril 2004, confirmée sur opposition le 16 janvier 2008, l'OFFICE CANTONAL DE L'ASSURANCE-INVALIDITE (ci-après OCAI) a informé Monsieur A__________ que sa demande de prestations AI était rejetée ; Que, représenté par FORUM SANTE, l'assuré a interjeté recours le 30 janvier 2008 contre la décision sur opposition ; qu'il conclut à se voir reconnaître une invalidité de 50% ; Que par courrier du 4 mars 2008, il a déclaré retirer son recours ; Considérant en droit que conformément à l'art. 56 V al. 1 let. a ch. 8 LOJ, le Tribunal cantonal des assurances sociales connaît en instance unique des contestations prévues à l’art. 56 de la loi fédérale sur la partie générale du droit des assurances sociales du 6 octobre 2000 LPGA) qui sont relatives à la loi fédérale sur l’assurance-invalidité du 19 juin 1959 (LAI) ; Que sa compétence pour juger du cas d’espèce est ainsi établie ; Que le recours a été retiré ; Qu’il convient d’en prendre acte et de rayer la cause du rôle ; PAR CES MOTIFS, LE TRIBUNAL CANTONAL DES ASSURANCES SOCIALES : Statuant A la forme : Déclare le recours recevable. Au fond : Prend acte du retrait du recours. Raye la cause du rôle. Renonce à percevoir un émolument. La greffière Marie-Louise QUELOZ La Présidente Doris WANGELER Une copie conforme du présent arrêt est notifiée aux parties ainsi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