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A/2895/2019 vom 17. September 2019</w:t>
      </w:r>
    </w:p>
    <w:p>
      <w:r>
        <w:t>GE Cour de justice, 2019-09-17, FR</w:t>
      </w:r>
    </w:p>
    <w:p>
      <w:r>
        <w:rPr>
          <w:b/>
        </w:rPr>
        <w:t xml:space="preserve">Quelle: </w:t>
      </w:r>
      <w:r>
        <w:t>https://mcp.opencaselaw.ch/entscheid/ge_gerichte_A_2895_2019</w:t>
      </w:r>
    </w:p>
    <w:p>
      <w:r>
        <w:t>FR: GE_GERICHTE A/2895/2019 du 17 septembre 2019</w:t>
      </w:r>
    </w:p>
    <w:p>
      <w:r>
        <w:t>IT: GE_GERICHTE A/2895/2019 del 17 settembre 2019</w:t>
      </w:r>
    </w:p>
    <w:p>
      <w:pPr>
        <w:pStyle w:val="Heading2"/>
      </w:pPr>
      <w:r>
        <w:t>Erwägungen</w:t>
      </w:r>
    </w:p>
    <w:p>
      <w:r>
        <w:rPr>
          <w:b/>
        </w:rPr>
        <w:t>E. 1</w:t>
      </w:r>
    </w:p>
    <w:p>
      <w:r>
        <w:t>représentait une pondération de 50 %. Le département a détaillé, dans un tableau intitulé « annexe F - notation détaillée », plusieurs sous-critères ayant fait la différence. Sur les trois premiers sous-critères du critère 1, l'intimée se voit attribuer des notes supérieures : pour le premier sous-critère, intitulé « chef de projet et responsable génie civil et routier + adjoint » l'intimé s'est vue attribuer la note 4.40 contre 4.00 à la recourante ; pour le deuxième sous-critère, intitulé « projeteur (s) responsable (s) », l'intimée s'est vue attribuer la note 4.50 contre 3.00 à la recourante ; pour le troisième sous-critère, intitulé « responsable (s) DLT », l'intimée s'est vue attribuer la note 5.00 contre 4.00 à la recourante. Cette dernière conteste essentiellement le deuxième sous-critère, en faisant valoir que le poste de « projeteur » correspond à un dessinateur avec CFC et non à un ingénieur, ce à quoi l'adjudicataire répond qu'en matière de génie civil un projeteur est un ingénieur, ce que d'autres candidats avaient également compris. Les critiques émises par les recourants consistent, prima facie, principalement à substituer, sur chacun des critères et sous-critères décrits, leur propre appréciation à celle du pouvoir adjudicateur, ce qui ne peut être admis. On ne voit pas, à première vue, en quoi les éléments d'appréciation dans les deux critères litigieux (et des trois sous-critères du critère n o 1) n'auraient pas fait l'objet d'une pondération correcte par le pouvoir adjudicateur, ce d'autant plus que l'examen des critères d'adjudication prévus par la grille d'évaluation pour octroyer les notes à chaque candidat a été effectué par le comité d'évaluation choisi dans le respect des recommandations cantonales de la commission ad hoc. L'intérêt public à la réalisation rapide de l'ouvrage prévu allégué par le pouvoir adjudicateur est important pour des motifs de mobilité visant à décharger le trafic routier et permettant un meilleur accès d'un côté à l'autre de l'autoroute dans le secteur surchargé de Palexpo. Il prime l'intérêt privé des recourants à la conclusion du contrat ; ceux-ci ne font, au demeurant, valoir aucun intérêt privé prépondérant. En l'état, les chances de succès du recours n'apparaissent pas suffisantes pour que la restitution de l'effet suspensif, exception en matière de marchés publics, puisse être accordée. La requête sera rejetée. 6) Le sort des frais sera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si la valeur estimée du mandat à attribuer n'est pas inférieure aux seuils déterminants de la loi fédérale du 16 décembre 1994 sur les marchés publics ou de l'accord du 21 juin 1999 entre la Confédération suisse et la Communauté européenne sur certains aspects relatifs aux marchés publics ; s'il soulève une question juridique de principe ; - par la voie du recours constitutionnel subsidiaire, aux conditions posées par les art. 113 ss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Nicolas Saviaux, avocat du Groupement CK Pavillon, à l'office du génie civil, ainsi qu'à Me Christian Lüscher, avocat du Groupement GEPA. La vice-présidente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