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A/2894/2017 vom 7. August 2018</w:t>
      </w:r>
    </w:p>
    <w:p>
      <w:r>
        <w:t>GE Cour de justice, 2018-08-07, FR</w:t>
      </w:r>
    </w:p>
    <w:p>
      <w:r>
        <w:rPr>
          <w:b/>
        </w:rPr>
        <w:t xml:space="preserve">Quelle: </w:t>
      </w:r>
      <w:r>
        <w:t>https://mcp.opencaselaw.ch/entscheid/ge_gerichte_A_2894_2017</w:t>
      </w:r>
    </w:p>
    <w:p>
      <w:r>
        <w:t>FR: GE_GERICHTE A/2894/2017 du 7 août 2018</w:t>
      </w:r>
    </w:p>
    <w:p>
      <w:r>
        <w:t>IT: GE_GERICHTE A/2894/2017 del 7 agosto 2018</w:t>
      </w:r>
    </w:p>
    <w:p>
      <w:pPr>
        <w:pStyle w:val="Heading2"/>
      </w:pPr>
      <w:r>
        <w:t>Regeste</w:t>
      </w:r>
    </w:p>
    <w:p>
      <w:r>
        <w:t>CIRCULATION ROUTIÈRE(DROIT DE LA CIRCULATION ROUTIÈRE) ; RESTRICTION DE CIRCULATION ; REJET DE LA DEMANDE ; QUALITÉ POUR RECOURIR ; INTÉRÊT DIGNE DE PROTECTION ; DÉCISION | Un particulier n'ayant aucun droit à ce que soit prise une mesure de restriction de la circulation au sens de l'art. 3 al. 4 LCR, il ne saurait bénéficier de la qualité pour recourir contre une décision de refus de l'autorité cantonale, laquelle constitue une décision générale et collective. Recours rejeté. | LPA.60.al1; LPA.4.al1; LCR.3; LCR.3.al4</w:t>
      </w:r>
    </w:p>
    <w:p>
      <w:pPr>
        <w:pStyle w:val="Heading2"/>
      </w:pPr>
      <w:r>
        <w:t>Erwägungen</w:t>
      </w:r>
    </w:p>
    <w:p>
      <w:r>
        <w:rPr>
          <w:b/>
        </w:rPr>
        <w:t>E. 26</w:t>
      </w:r>
    </w:p>
    <w:p>
      <w:r>
        <w:t>septembre 2010 - LOJ - E 2 05).![endif]&gt;![if&gt;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b. Saisie d’un recours, la chambre administrative applique le droit d’office. Elle est liée par les conclusions des parties, mais non par les motifs que les parties invoquent (art. 69 al. 1 LPA), ni par leur argumentation juridique ( ATA/583/2016 du 8 juillet 2016 consid. 1b ; ATA/909/2015 du 8 septembre 2015 consid. 2).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b).![endif]&gt;![if&gt; Les let. a et b de cette disposition doivent se lire en parallèle. Ainsi, le particulier qui ne peut faire valoir un intérêt digne de protection ne saurait être admis comme partie recourante, même s’il était partie à la procédure de première instance ( ATA/251/2018 du 20 mars 2018 consid. 2a, et les arrêts cités). b. Cette notion de l’intérêt digne de protection correspond aux critères exposés à l’art. 89 al. 1 let. c LTF, en vigueur depuis le 1 er janvier 2007 (LTF - RS 173.110) que les cantons sont tenus de respecter, en application de la règle d’unité de la procédure qui figure à l’art. 111 al. 1 LTF (arrêt du Tribunal fédéral 1C_152/2012 du 21 mai 2012 consid. 2.1 ; ATA/170/2018 du 20 février 2018 consid. 3a, et les références citées). À teneur de la jurisprudence, cet intérêt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En d’autres termes, l’intérêt invoqué, qui n’est pas nécessairement un intérêt juridiquement protégé, mais qui peut être un intérêt de fait, doit se trouver, avec l’objet de la contestation, dans un rapport étroit, spécial et digne d’être pris en considération (ATF 143 II 506 consid. 5.1, et les arrêts cités). Le recours d’un particulier formé dans l’intérêt général ou dans l’intérêt d’un tiers est exclu. Cette exigence a été posée de manière à empêcher l’action populaire (ATF 135 II 145 consid. 6.1 ; 133 V 239 consid. 6.3 ; ATA/57/2018 du 23 janvier 2018 consid. 3b ; ATA/211/2017 du 21 février 2017 consid. 3b). Un intérêt purement théorique à la solution d’un problème est de même insuffisant ( ATA/57/2018 précité consid. 3b ; ATA/805/2013 du 10 décembre 2013 consid. 1c). 3)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Ulrich HÄFELIN/Georg MÜLLER/Felix UHLMANN, Allgemeines Verwaltungsrecht, 6 ème éd., 2010, n. 867 ss ; Pierre MOOR/Étienne POLTIER, Droit administratif, vol. II, 3 ème éd., 2011, p. 179 ss n. 2.1.2.1 ss et 245 n. 2.2.3.3 ; Thierry TANQUEREL, Manuel de droit administratif, 2011, p. 269 ss n. 783 ss). c. Certaines décisions sont qualifiées de générales ou collectives selon les auteurs. Il s’agit d’un acte de l’administration visant à régler des situations déterminées, mais qui s’adresse à un nombre indéterminé de personnes (ATF 134 II 272 ; ATA/910/2015 du 8 septembre 2015 consid. 3d ; ATA/922/2014 du 25 novembre 2014 consid. 4c ; Thierry TANQUEREL, op. cit., p. 278 n. 809). A ainsi été considéré comme tel un arrêté suspendant l’augmentation du traitement du personnel d’un canton pendant une année scolaire déterminée (ATF 125 I 313 consid. 2a). d. Le régime des décisions générales est hybride. Il emprunte à la fois à celui de la décision et à celui de la norme (Thierry TANQUEREL, op. cit., p. 278 n. 809).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134 II 272 , consid. 3.2 ; 2C_330/2013 du 10 septembre 2013 consid. 3.4.5 ; 2C_609/2010 du 18 juin 2011 consid. 1.1.1). Du point de vue de la protection juridique, une décision générale est susceptible de faire l’objet d’un recours direct (ATF 126 II 300 consid. 1 ; 125 I 313 consid. 2b ; 112 Ib 249 consid. 2b) mais elle doit également pouvoir faire l’objet d’un contrôle préjudiciel à l’occasion d’un acte application (ATF 134 II 272 consid. 3.3 ; Thierry TANQUEREL, op. cit., p. 279 n. 810). En particulier, les mesures de gestion du trafic routier et de signalisation (art. 3 al. 3 et 4 LCR) constituent des décisions générales ou collectives qu'il convient de traiter comme des actes administratifs (individuels et concrets ; Jacques DUBEY/Jean-Baptiste ZUFFEREY, Droit administratif général, 2014, p. 319 n° 875). 4) a. À teneur de l'art. 3 LCR,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 les courses effectuées pour le service de la Confédération sont toutefois autorisées (al. 3).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(al. 4).![endif]&gt;![if&gt; Réserver des routes à certains véhicules automobiles est parfaitement licite. Cependant, dans ce cas, il est souvent difficile de déterminer si cette réglementation de la circulation relève de l'art. 3 al. 3 LCR ou de l'art. 3 al. 4 LCR, la jurisprudence n'étant pas non plus très claire à ce sujet (André BUSSY/Baptiste RUSCONI/Yvan JEANNERET/André KUHN/Cédric MIZEL/Christoph MÜLLER, Code suisse de la circulation routière commenté, 4 ème éd., 2015, n. 4.6 ad art. 3 LCR). Cela étant, le Tribunal fédéral a déjà retenu qu'il faut distinguer les interdictions et les restrictions à la circulation d'une part (art. 3 al. 3 LCR), que les cantons, sous réserve de violation des droits constitutionnel des citoyens, sont libres d'édicter sur les routes qui ne sont pas ouvertes au grand transit et, d'autre part, les autres limitations ou prescriptions, relatives à la façon de rouler (art. 3 al. 4 LCR), qui sont soumises à des conditions particulières et restrictives (ATF 100 IV 63 consid. 1c, rés. in JdT 1975 I 410 ; ATF 101 Ia 565 consid. 9). b. S'agissant de l'art. 3 al. 4 LCR, un particulier n'a aucun droit à ce que soit prise une mesure de restriction de la circulation. En raison de leur pouvoir discrétionnaire, découlant notamment de la forme potestative de cette disposition légale, les autorités cantonales n'ont pas l'obligation d'adopter des mesures de circulation, de sorte qu'elles ne sauraient l'être par un particulier (LU 1987 LGVE 1987 III p. 413 n° 45). Le principe est que le propriétaire d'un fonds limitrophe à une voie publique n'a aucun droit spécifique différent de celui d'un autre citoyen d'utiliser une route servant à l'usage commun (André BUSSY/Baptiste RUSCONI/Yvan JEANNERET/André KUHN/Cédric MIZEL/Christoph MÜLLER, op. cit., n. 9.1 ad art. 3 LCR et les références citées). En revanche, la qualité pour recourir contre une restriction de circulation est accordée aux personnes qui vivent sur une route affectée par une telle restriction, la conduite occasionnelle sur la route n'étant pas suffisante pour justifier un tel droit (Eva Maria BELSER, in Marcel Alexander NIGGLI et al., Basler Kommentar, Strassenverkehrsgesetz, 2014, n. 90 ad art. 3). Ainsi, la qualité pour recourir contre une restriction de la circulation provoquant un report de trafic a été reconnue au propriétaire d'un immeuble locatif riverain de la route touchée par l'accroissement de trafic (André BUSSY/Baptiste RUSCONI/Yvan JEANNERET/ André KUHN/Cédric MIZEL/Christoph MÜLLER, op. cit., n. 7.1.2 ad art. 3 LCR et les références citées). 5) En l'espèce, le litige porte sur le refus de l'autorité intimée d'interdire l'accès au chemin du Pré-Félix sur la commune de Genthod, à l'exception des riverains. ![endif]&gt;![if&gt; Bien que le recourant soit à la fois propriétaire d'un immeuble et résident au chemin du Pré-Félix, il reste que celui-ci ressortit au domaine public communal. Il ne peut donc pas disposer d'un droit à ce qu'une interdiction de circuler, riverains exceptés, soit prononcée à cet endroit. En tant que décision générale ou collective, ce type de mesure est soumis à un régime particulier. Au vu des principes et de la jurisprudence susrappelés, seule l'autorité cantonale compétente peut, selon son pouvoir discrétionnaire, décider du prononcé d'une interdiction ou de mesures de restrictions de la circulation. Le recours dont est objet vise cependant à faire obligation à l'autorité intimée d'en adopter une, et non pas à faire cesser une interdiction ou des mesures de restriction de la circulation qui porteraient préjudice au recourant. Pour le reste, aucun acte illicite au sens de l'art. 4A LPA ne peut être reproché aux autorités cantonales en lien avec l'existence des nuisances alléguées par le recourant. En ces circonstances, le recourant ne bénéficiant d'aucun droit au prononcé d'une interdiction de circulation, riverains exceptés, au chemin du Pré-Félix, la qualité pour recourir ne peut lui être reconnue en l'occurrence. 6) Vu ce qui précède, le recours est irrecevable.![endif]&gt;![if&gt; 7) Vu l'issue du litige, un émolument de CHF 500.- sera mis à la charge du recourant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