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A/2894/2015 vom 19. Oktober 2015</w:t>
      </w:r>
    </w:p>
    <w:p>
      <w:r>
        <w:t>GE Cour de justice, 2015-10-19, FR</w:t>
      </w:r>
    </w:p>
    <w:p>
      <w:r>
        <w:rPr>
          <w:b/>
        </w:rPr>
        <w:t xml:space="preserve">Quelle: </w:t>
      </w:r>
      <w:r>
        <w:t>https://mcp.opencaselaw.ch/entscheid/ge_gerichte_A_2894_2015</w:t>
      </w:r>
    </w:p>
    <w:p>
      <w:r>
        <w:t>FR: GE_GERICHTE A/2894/2015 du 19 octobre 2015</w:t>
      </w:r>
    </w:p>
    <w:p>
      <w:r>
        <w:t>IT: GE_GERICHTE A/2894/2015 del 19 ottobre 2015</w:t>
      </w:r>
    </w:p>
    <w:p>
      <w:pPr>
        <w:pStyle w:val="Heading2"/>
      </w:pPr>
      <w:r>
        <w:t>Volltext</w:t>
      </w:r>
    </w:p>
    <w:p>
      <w:r>
        <w:t>Genève Cour de justice (Cour de droit public) Chambre administrative 19.10.2015 A/2894/2015</w:t>
      </w:r>
    </w:p>
    <w:p>
      <w:r>
        <w:t>A/2894/2015 ATA/1122/2015 du 19.10.2015 ( MARPU ) , REFUSE Parties : LÉMANVISIO SA / VISION COLOR SARL, CENTRALE COMMUNE D'ACHATS RÉPUBLIQUE ET CANTON DE GENÈVE POUVOIR JUDICIAIRE A/2894/2015 - MARPU ATA/1122/2015 COUR DE JUSTICE Chambre administrative Décision du 19 octobre 2015 sur effet suspensif dans la cause LÉMANVISIO SA représentée par Me Laurent Maire, avocat contre CENTRALE COMMUNE D’ACHATS et VISION COLOR SARL, appelée en cause représentée par Me Olivier Wehrli, avocat Attendu, en fait, que : 1) Le 9 juin 2015, la centrale commune d’achats de l’État de Genève (ci-après : CCA) a publié dans la Feuille d’Avis officielle de la République et canton de Genève (ci-après : FAO) un appel d’offres, en procédure ouverte et soumis à l’accord GATT/OMC concernant un marché de fournitures, soit l’acquisition de divers équipements multimédia pour plusieurs salles du bâtiment B de la Haute école de gestion, à l’époque en construction.![endif]&gt;![if&gt; La rubrique « délai de livraison » indiquait que les équipements devaient être opérationnels le 15 décembre 2015. Selon le dossier d’appel d’offres remis aux candidats, les critères d’adjudication seraient, dans un ordre d’importance décroissant : I. qualité des équipements et des prestations (caractéristiques techniques, durée de la garantie, références, etc.) ; II. prix ; III. qualité de l’entreprise : a) Contribution à la composante sociale du développement durable. b) Contribution à la composante environnementale du développement durable. Une visite des locaux était organisée le 23 juin 2015. Les éventuelles questions des soumissionnaires devaient être déposées sur le site internet http://simap.ch avant le mardi 30 juin 2015. Tant les questions que leurs réponses seraient diffusées sur ledit site le 3 juillet 2015. Ces éléments faisaient partie intégrante du dossier d’appel d’offres et devraient être pris en compte pour cette dernière. 2) Six offres ont été déposées dans le délai, notamment celle de la société Vision Color Sàrl (ci-après : Vision Color) et celle de la société Lémanvisio SA (ci-après : Lémanvisio).![endif]&gt;![if&gt; Une des offres reçues a été exclue pour des raisons formelles. 3) Lémanvisio a déposé une offre pour un prix total de CHF 324'832.93.![endif]&gt;![if&gt; Le 28 juillet 2015, la CCA lui a demandé des compléments d’information concernant l’offre déposée. Cette société y a répondu, transmettant un tableau explicatif, des documents techniques et un schéma de principe, le 30 juillet 2015. 4) Le 13 août 2015, la CCA a attribué le marché à Vision Color, pour un prix global de CHF 444'797.-, hors TVA.![endif]&gt;![if&gt; Le critére « qualité du matériel » avait été pondérée à 65 %, celui concernant le prix à 25 % et celui portant sur la qualité de l’entreprise à 10 %. Lémanvisio a été informée de cette attribution et il lui a été précisé que son offre était arrivée au cinquième rang des cinq offres valables. À cette décision était annexé un tableau d’évaluation des prix. 5) Par acte mis à la poste le 27 août 2015 et reçu le 31 août 2015, Lémanvisio a saisi la chambre administrative de la Cour de justice (ci-après : la chambre administrative) d’un recours contre la décision précitée, concluant préalablement à ce que l’effet suspensif lié au recours soit restitué. ![endif]&gt;![if&gt; a. L’autorité intimée avait violé son droit d’être entendue, dès lors que la CCA n’avait pas expliqué de façon détaillée ou pertinente le système d’évaluation des offres mis en place. Elle ne lui avait pas transmis l’intégralité des documents nécessaires pour lui permettre de se déterminer. Le principe de la transparence avait été violé puisque les critères d’adjudication n’avaient pas été énumérés par ordre d’importance. La pondération de chacun des critères n’avait pas été précisée dans l’appel d’offres. Concrètement, seul le critère « qualité » avait été pris en compte au vu du poids qui lui était donné. De même, la méthode utilisée pour la notation n’avait pas été précisée. Les principes de la non-discrimination et de l’égalité de traitement avaient également été violés. La CCA avait favorisé, sans motif, une offre nettement plus onéreuse que celle de Lémanvisio, alors que cette société n’était pas certifiée en tant que revendeur des produits qu’elle proposait. Le principe de l’utilisation parcimonieuse des deniers publics n’avait pas été respecté. Pour des prestations standard, la pondération donnée au critère « prix » devait avoir un poids important, soit de l’ordre de 50 %. En dernier lieu, la CCA avait abusé de son pouvoir d’appréciation lors de l’évaluation de l’offre de Lémanvisio dès lors qu’une note de 4 lui avait été accordée dans de nombreuses rubriques, sans que des commentaires permettent de comprendre pourquoi la note de 6 n’était pas donnée. b. Concernant l’effet suspensif, le recours avait, à première vue, de fortes chances de succès et le contrat ne devait pas être conclu avant que le recours ne soit tranché. Il n’y avait pas d’urgence à statuer dès lors que la remise du bâtiment à l’adjudicataire n’était pas prévue avant le 16 octobre 2015 et la mise en service le 15 décembre 2015. 6) Appelée en cause, Vision Color a conclu, le 15 septembre 2015, au rejet tant du recours que de la demande de restitution d’effet suspensif. ![endif]&gt;![if&gt; L’un de ses associés et deux de ses collaborateurs étaient autorisés à vendre et à garantir les produits proposés. Le droit d’être entendue de la recourante avait été respecté du fait de la motivation sommaire fournie par l’autorité, ainsi que des explications complémentaires qui lui avaient été données. L’ordre d’importance des critères d’adjudication avait été mentionné dans l’appel d’offres et ce dernier n’avait pas fait l’objet d’un recours. Les autres principes régissant les marchés publics avaient été respectés. Les biens fournis ne pouvaient être considérés comme largement standardisés et l’appel d’offres ne tenait pas seulement compte du matériel, mais aussi des services fournis en lien avec l’étude et le suivi du chantier. De plus, la CCA n’avait pas abusé de son pouvoir d’appréciation et la recourante n’indiquait pas en quoi la note de 6 aurait dû lui être donnée, plutôt que celle de 4, dans un certain nombre de postes. Au surplus, l’intérêt public à ce que l’école construite puisse être utilisée dès le début de l’année 2016 était prépondérant. 7) Le même jour, la CCA a aussi conclu au rejet du recours et à ce que l’effet suspensif ne soit pas restitué à cet acte, pour des motifs similaires à ceux développés par Vision Color.![endif]&gt;![if&gt; 8) Exerçant son droit à la réplique, sur effet suspensif, Lémanvisio a maintenu sa position, le 29 septembre 2015.![endif]&gt;![if&gt; La restitution de l’effet suspensif au recours ne l’empêchait pas d’installer le matériel dans le délai prévu. Vision Color ne bénéficiait pas de la certification suisse du constructeur des produits fournis, ce qui l’obligeait de s’approvisionner à l’étranger. Lémanvisio offrait une garantie pour une période de cinq ans, alors que sa concurrente n’offrait pas un tel avantage. À cela s’ajoutait un service de maintenance gratuit pendant la même période. Au surplus, elle maintenait et développait les griefs ressortant de son recours. 9) Sur quoi, la cause a été gardée à juger sur effet suspensif.![endif]&gt;![if&gt; Considérant en droit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Se posent néanmoins la question de l’intérêt juridique de la recourante, classée en cinquième rang sur cinq offres (cf. ATF 141 II 14 consid. 4.1 ; arrêt du tribunal fédéral 2C_203/2014 du 9 mai 2015 consid. 2.2), ainsi que celle de la tardiveté de certains griefs. L’examen de la recevabilité du recours sur ces aspects souffrira toutefois d’être réservée en l’état, au vu de ce qui suit.![endif]&gt;![if&gt; 3)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ATA/701/2013 du 22 octobre 2013 consid. 2 ; ATA/683/2013 du 10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4)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5) En l’espèce, les chances de succès du recours n’apparaissent pas, à première vue, manifestes. L’ordre d’importance des critères d’adjudication, s’il n’a pas été publié dans la FAO, était mentionné dans le dossier d’appel d’offres.![endif]&gt;![if&gt; L’exigence de motivation de la décision litigieuse, laquelle peut se limiter à être sommaire (art. 13 let. h AIMP ; 45 al. 1 RMP) a été respectée : cette dernière indiquait le point donné à chacun des critères et précisait la manière dont les points composant le prix global de l’offre avaient été fixée. De plus, la recourante a été reçue pendant le délai de recours par l’autorité intimée, ce qui permet de retenir, toujours à première vue, qu’elle a pu obtenir les éventuelles informations complémentaires nécessaires. De plus, le principe de la non-discrimination et celui de l’égalité de traitement apparaissent, à première analyse, être respectés. L’évaluation de chacun des candidats semble avoir été faite sur des critères choisis avec soin et utilisé sans favoriser une offre particulière. Le poids donné au critère concernant la qualité, est certes important. Il reste cependant dans les limites du pouvoir d’appréciation accordé par le législateur à l’autorité adjudicatrice, étant précisé que le marché qui ne concerne pas uniquement la fourniture de matériel standardisé, mais aussi son entretien et le service après-vente, présente une certaine complexité. Quant à la pesée d’intérêts à effectuer, la chambre administrative relèvera en premier lieu que, s’il existe un intérêt public important, ce dernier doit cependant être relativisé du fait qu’il appartient à l’autorité de tenir compte des éventuels recours dans son planning, sauf à vider de son contenu les règles régissant ce domaine. L’intérêt privé de la recourante, lequel s’oppose à celui de la société intimée, n’apparaît pas non plus déterminant. 6) Au vu des éléments qui précèdent, la restitution de l’effet suspensif sera refusée.![endif]&gt;![if&gt; Les frais de la procédure seront réservés jusqu’à droit jugé au fond. * * * * * LA CHAMBRE ADMINISTRATIVE rejette la requête en restitution de l’effet suspensif au recours interjeté le 27 août 2015 par Lémanvisio SA contre la décision d’adjudication du 13 août 2015 prise par la centrale commune d’achats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Laurent Maire, avocat de la recourante, à la centrale commune d’achats, ainsi qu'à Me Olivier Wehrli, avocat de Vision Color Sàrl. Le vice-président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