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A/288/2022 vom 31. Januar 2023</w:t>
      </w:r>
    </w:p>
    <w:p>
      <w:r>
        <w:t>GE Cour de justice, 2023-01-31, FR</w:t>
      </w:r>
    </w:p>
    <w:p>
      <w:r>
        <w:rPr>
          <w:b/>
        </w:rPr>
        <w:t xml:space="preserve">Quelle: </w:t>
      </w:r>
      <w:r>
        <w:t>https://mcp.opencaselaw.ch/entscheid/ge_gerichte_A_288_2022</w:t>
      </w:r>
    </w:p>
    <w:p>
      <w:r>
        <w:t>FR: GE_GERICHTE A/288/2022 du 31 janvier 2023</w:t>
      </w:r>
    </w:p>
    <w:p>
      <w:r>
        <w:t>IT: GE_GERICHTE A/288/2022 del 31 gennaio 2023</w:t>
      </w:r>
    </w:p>
    <w:p>
      <w:pPr>
        <w:pStyle w:val="Heading2"/>
      </w:pPr>
      <w:r>
        <w:t>Erwägungen</w:t>
      </w:r>
    </w:p>
    <w:p>
      <w:r>
        <w:rPr>
          <w:b/>
        </w:rPr>
        <w:t>E. 2</w:t>
      </w:r>
    </w:p>
    <w:p>
      <w:r>
        <w:t>La recourante sollicite à titre préalable la tenue d’une audience de plaidoiries publique, la comparution personnelle des parties, l’audition d’un témoin et la production de documents par l’OCIRT.![endif]&gt;![if&gt; Elle se plaint par ailleurs que le TAPI n’a pas donné suite à sa demande d’actes d’instruction. Elle se plaint enfin que le TAPI s’est référé à des recherches internet sans lui en soumettre préalablement le résultat. 2.1.1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ATA/1021/2020 du 13 octobre 2020 consid. 4a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ATA/1021/2020 précité consid. 4a ; ATA/1152/2019 précité consid. 2c et les arrêts cités). 2.1.2 L'art. 6 §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 ème phr. CEDH, lorsque la demande est abusive, chicanière, ou dilatoire, lorsqu'il apparaît clairement que le recours est infondé, irrecevable ou, au contraire, manifestement bien 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en dehors des limitations expressément prévues par cette disposition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 arrêt du Tribunal fédéral 8D_5/2019 précité consid. 3.2.2).![endif]&gt;![if&gt;</w:t>
      </w:r>
    </w:p>
    <w:p>
      <w:r>
        <w:rPr>
          <w:b/>
        </w:rPr>
        <w:t>E. 2.2</w:t>
      </w:r>
    </w:p>
    <w:p>
      <w:r>
        <w:t>En l’espèce, il sera vu plus loin que les soupçons de discrimination fondés sur le sexe soulevés par la recourante ne trouvent aucun appui dans la procédure. Or, la recourante n’invoque que cette problématique à l’appui de sa demande d’audience publique de plaidoiries. Ainsi, et à supposer même que l’art. 6 CEDH trouve application en droit administratif des étrangers, il n’y sera pas donné suite.![endif]&gt;![if&gt; La recourante respectivement la société ont eu l’occasion de s’exprimer et de produire tous documents utiles devant l’OCIRT puis le TAPI et la chambre de céans. La recourante n’explique pas quels éléments supplémentaires qu’elle n’aurait pu produire par écrit, son audition et celle de son associé ou encore l’audition du témoin pourraient apporter à la procédure, notamment en ce qui concerne le « business plan » de la société. L’OCIRT a produit des précisions au sujet des sociétés concurrentes et des autorisations délivrées ainsi que des explications sur les exigences appliquées par la commission tripartite. La procédure est complète et en état d’être jugée. Il ne sera pas donné suite aux actes d’instruction réclamés. Pour les mêmes motifs, le TAPI n’a pas violé le droit d’être entendue de la recourante en refusant d’ordonner les actes d’instruction sollicités. Enfin, les recherches effectuées sur internet par le TAPI n’ont en effet pas été soumises à la recourante. Celle-ci a toutefois pu les critiquer de manière détaillée dans son recours, de même qu’elle a pu se prononcer sur les données publiques extraites du RC et les explications complémentaires apportées par l’OCIRT sur la même question de l’innovation, de sorte que si une violation de son droit d’être entendue devait être admise, elle serait minime et aurait été guérie devant la chambre de céans, qui jouit du même pouvoir d’examen que le TAPI. Le grief sera écarté.</w:t>
      </w:r>
    </w:p>
    <w:p>
      <w:r>
        <w:rPr>
          <w:b/>
        </w:rPr>
        <w:t>E. 3</w:t>
      </w:r>
    </w:p>
    <w:p>
      <w:r>
        <w:t>Dans un second grief d’ordre formel, la recourante se plaint d’un déni de justice.![endif]&gt;![if&gt;</w:t>
      </w:r>
    </w:p>
    <w:p>
      <w:r>
        <w:rPr>
          <w:b/>
        </w:rPr>
        <w:t>E. 3.1</w:t>
      </w:r>
    </w:p>
    <w:p>
      <w:r>
        <w:t>Tel qu'il est garanti par l'art. 29 al. 2 Cst.,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citées).![endif]&gt;![if&gt;</w:t>
      </w:r>
    </w:p>
    <w:p>
      <w:r>
        <w:rPr>
          <w:b/>
        </w:rPr>
        <w:t>E. 3.2</w:t>
      </w:r>
    </w:p>
    <w:p>
      <w:r>
        <w:t>En l’espèce, il sera vu plus loin que le grief de violation de l’égalité des sexes repose sur une simple conjecture, que rien dans la procédure ne vient étayer, et que la recourante a réitéré jusque dans sa réplique nonobstant les informations produites par l’OCIRT. Il ne possédait ainsi ni substance ni pertinence, de sorte que le TAPI n’avait pas à en traiter.![endif]&gt;![if&gt; Le grief sera écarté.</w:t>
      </w:r>
    </w:p>
    <w:p>
      <w:r>
        <w:rPr>
          <w:b/>
        </w:rPr>
        <w:t>E. 4</w:t>
      </w:r>
    </w:p>
    <w:p>
      <w:r>
        <w:t>L'objet du litige porte sur le refus de l'OCIRT de délivrer à B______ une autorisation de séjour avec activité lucrative en faveur de Mme A______.![endif]&gt;![if&gt;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5</w:t>
      </w:r>
    </w:p>
    <w:p>
      <w:r>
        <w:t>La recourante se plaint d’une violation de l’art. 8 Cst.![endif]&gt;![if&gt;</w:t>
      </w:r>
    </w:p>
    <w:p>
      <w:r>
        <w:rPr>
          <w:b/>
        </w:rPr>
        <w:t>E. 5.1</w:t>
      </w:r>
    </w:p>
    <w:p>
      <w:r>
        <w:t>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5.1).![endif]&gt;![if&gt; L'inégalité de traitement apparaît comme une forme particulière d'arbitraire, consistant à traiter de manière inégale ce qui devrait l'être de manière semblable ou inversement (ATF 142 I 195 consid. 6.1 ; 137 I 167 consid. 3.5 ; 129 I 346 consid. 6). Aux termes de l’art. 8 al. 3 Cst., l’homme et la femme sont égaux en droit. La loi pourvoit à l’égalité de droit et de fait, en particulier dans les domaines de la famille, de la formation et du travail. L’homme et la femme ont droit à un salaire égal pour un travail de valeur égale.</w:t>
      </w:r>
    </w:p>
    <w:p>
      <w:r>
        <w:rPr>
          <w:b/>
        </w:rPr>
        <w:t>E. 5.2</w:t>
      </w:r>
    </w:p>
    <w:p>
      <w:r>
        <w:t>En l’espèce, la recourante faisait valoir que les femmes seraient discriminées dans l’attribution des autorisations de séjour et de travail. Il s’agissait toutefois d’une simple conjecture ne trouvant aucun appui dans le dossier. En réponse, l’OCIRT a produit des statistiques montrant un taux d’acceptation global des demandes presque identique quel que soit le genre. La recourante a alors invoqué la différence nette entre les permis octroyés aux hommes et aux femmes et semblé suggérer à l’État d’adopter une politique affirmative en octroyant plus souvent des permis aux femmes, sans toutefois prendre la peine de démontrer en quoi la décision de l’OCIRT serait en l’état constitutive d’une inégalité de traitement.![endif]&gt;![if&gt; Le grief, manifestement mal fondé, sera écarté, étant rappelé qu’aucun des actes d’instruction réclamés n’était susceptible de l’avérer.</w:t>
      </w:r>
    </w:p>
    <w:p>
      <w:r>
        <w:rPr>
          <w:b/>
        </w:rPr>
        <w:t>E. 6</w:t>
      </w:r>
    </w:p>
    <w:p>
      <w:r>
        <w:t>La recourante se plaint d’une violation de la loi.![endif]&gt;![if&gt; 6.1.1 La loi fédérale sur les étrangers et l'intégration du 16 décembre 2005 (LEI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E______ ( ATA/467/2017 du 25 avril 2017 consid. 5).![endif]&gt;![if&gt; Selon l'art. 11 al. 1 LEI, tout étranger qui entend exercer en Suisse une activité lucrative doit être titulaire d'une autorisation, quelle que soit la durée de son séjour ; il doit la solliciter auprès de l'autorité compétente du lieu de travail envisagé.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ATA/361/2020 du 16 avril 2020 consid. 4b et les arrêts cités). L'art. 19 LEI prévoit qu'un étranger peut être admis en vue d'exercer 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Que l'on examine la situation de Mme A______ à l'aune de l'art. 18 ou de l'art. 19 LEI, son admission en vue d'exercer une activité lucrative en Suisse doit, dans tous les cas, servir les intérêts économiques du pays ( ATA/795/2020 du 25 août 2020 consid. 7b). Les autorités compétentes bénéficient d'un large pouvoir d'appréciation. En raison de leur formulation potestative, les art. 18 et 19 LEI ne confèrent aucun droit à l'autorisation sollicitée (arrêt du Tribunal fédéral 2C_30/2020 du 14 janvier 2020 consid. 3.1 ; ATA/361/2020 du 16 avril 2020 ; ATA/1660/2019 du 12 novembre 2019). De même, un employeur ne dispose d'aucun droit à engager un étranger en vue de l'exercice d'une activité lucrative en Suisse (arrêts du Tribunal fédéral 2D_57/2015 du 21 septembre 2015 consid. 3 ; 2D_4/2015 du 23 janvier 2015 consid. 3 ; arrêt du Tribunal administratif fédéral [ci-après : TAF] C-5184/2014 du 31 mars 2016 consid. 3). Selon le ch. 4.3.1 des Directives du secrétariat d’État aux migrations (ci-après : SEM), domaine des étrangers, 2013, état au 1 er novembre 2021 (ci-après : Directives du SEM) – qui ne lient pas le juge mais dont celui-ci peut tenir compte pour assurer une application uniforme de la loi envers chaque administré et pourvu qu'elles respectent le sens et le but de la norme applicable ( ATA/1660/2019 précité consid. 4c) –, l'autorité doit apprécier le cas en tenant compte en particulier de la situation sur le marché du travail, de l'évolution économique durable et de la capacité de l'étranger concerné de s'intégrer. S'agissant de l'implantation d'une entreprise, il est admis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du SEM ch. 4.7.2.1). Dans la phase de création de l'entreprise, les autorisations seront délivrées, en règle générale, pour deux ans. La prolongation des autorisations dépendra de la concrétisation, dans les termes prévus, de l'effet durable positif escompté de l'implantation de l'entreprise. La prolongation pourra être refusée si, par exemple, les objectifs fixés dans le plan d'affaires ne sont pas atteints (art. 62 al. 1 let. d LEI ; Directives du SEM ch. 4.7.2.2).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C-8717/2010 du 8 juillet 2011 consid. 5.1 ; ATA/1147/2018 du 30 octobre 2018 consid. 7c ; ATA/1018/2017 du 27 juin 2017 consid. 4c ; Marc SPESCHA/Antonia KERLAND/Peter BOLZLI, Handbuch zum Migrationsrecht, 2 ème éd., 2015, p. 173 et ss). L'art. 3 al. 1 LEI concrétise le terme en ce sens que les chances d'une intégration durable sur le marché du travail suisse et dans l'environnement social sont déterminantes (Minh Son NGUYEN/Cesla AMARELLE, Code annoté de droit des migrations, vol. 2 : LEtr, 2017, p. 145 et les références citées). L'activité économique est dans l'intérêt économique du pays si l'étranger offre par là une prestation pour laquelle il existe une demande non négligeable et qui n'est pas déjà fournie en surabondance (Minh Son NGUYEN/Cesla AMARELLE, op. cit., p. 146 et les références citées).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(arrêts du TAF C-2485/2011 du 11 avril 2013 et C-7286/2008 du 9 mai 2011). Pour ce qui est des qualifications personnelles requises, l'art. 23 LEtr énonce que seuls les cadres, les spécialistes ou les autres travailleurs qualifiés peuvent, en principe,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En dérogation aux alinéas 1 et 2, peuvent être admises (notamment) les personnes possédant des connaissances ou des capacités professionnelles particulières, si leur admission répond de manière avérée à un besoin (al. 3 let. c). Sauf si la loi en dispose autrement (art. 25 al. 2 LEtr), ces conditions doivent être remplies de manière cumulative (arrêt du TAF F-4755/2018 du 27 janvier 2021 consid. 4.3 in fine). De plus, l'étranger doit fournir la preuve ou au moins rendre vraisemblable que les conditions financières et les exigences relatives à l'exploitation de l'entreprise au sens de l'art. 19 let. b LEI sont remplies. Au titre des conditions financières, la loi exige que l'activité prévue génère un revenu suffisant pour couvrir les coûts de l'activité ainsi que les frais d'entretien de l'étranger (Minh Son NGUYEN/Cesla AMARELLE, op. cit., p. 146 et les références citées). À teneur de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6.1.2 Dans un cas concernant une société active dans les services de conciergerie de luxe, la chambre administrative avait considéré que le concept d'« intérêts économiques du pays » était une notion juridique indéterminée assez vague, de sorte que les sous-conditions énumérées dans les Directives du SEM, qui ne liaient pas le juge, ne sauraient être appliquées avec une rigueur extrême. En outre, il ne ressortait ni de la doctrine ni de la jurisprudence qu'un certain seuil de chiffre d'affaires ou de bénéfice devait être dépassé pour que la condition de l'art. 19 let. b LEI soit remplie ( ATA/896/2018 du 4 septembre 2018).![endif]&gt;![if&gt; Statuant sur recours contre le refus du SEM de donner son approbation, le TAF a notamment retenu, concernant la diversification du tissu économique régional et de ses activités, qu’il résultait du RC qu'une dizaine de sociétés offrant des services similaires déployaient leurs activités dans le canton de Genève (www.ge.ch /recherche-entreprises-registre-du-commerce-geneve, consulté en juin 2021). Même en se replaçant au moment de la création de la société, respectivement de sa requête à pouvoir engager le recourant, où un nombre plus restreint d'entreprises actives dans ce secteur existait, le TAF considérait que le domaine de la conciergerie ne nécessitait pas de nouvelle implantation en vue du développement de ce domaine d'activités. Ce, d'autant moins que la société en cause ne contribuait que dans une moindre mesure à l'économie locale et n'offrait pas – ou tout au plus de manière très limitée – d'apport particulier au tissu économique genevois, quand bien même elle était parfois engagée par une clientèle internationale qui permettait quelques retombées positives pour le canton de Genève. Il n'avait pas été démontré à satisfaction de droit que l'exploitation de cette société représentait un intérêt économique suffisant pour le canton de Genève, tant au vu de la création de places de travail et d'investissements que de la diversification de l'économie genevoise. Dans la mesure où les conditions des art. 19 ss LEI devaient être remplies de manière cumulative, il n'y avait pas lieu d'analyser plus en avant si les autres conditions à l'octroi d'une autorisation de séjour en vue d'exercer une activité lucrative indépendante étaient remplies (arrêt du TAF du 16 août 2021 F_968/2019 et références). Dans une espèce récente, la chambre de céans, se penchant sur une conciergerie de luxe, a tenu compte de l’existence d’une dizaine de sociétés concurrentes, du caractère insuffisant des emplois créés, de la faiblesse de la rémunération et des pertes essuyées par la société. L’injection de CHF 5'000'000.- par le recourant ne garantissait pas la pérennité de la société. La collaboration avec de grands sociétés n’était pas prouvée. L’OCIRT avait refusé à juste titre de prélever une autorisation sur le contingent ( ATA/184/2022 du 22 février 2022).</w:t>
      </w:r>
    </w:p>
    <w:p>
      <w:r>
        <w:rPr>
          <w:b/>
        </w:rPr>
        <w:t>E. 6.2</w:t>
      </w:r>
    </w:p>
    <w:p>
      <w:r>
        <w:t>En l’espèce, la recourante se plaint que le caractère original et innovant de son offre n’a pas été retenu par le TAPI. Elle ne peut être suivie.![endif]&gt;![if&gt; Si les sociétés citées à titre de comparaison par l’OCIRT et le TAPI ne sont effectivement pas identiques à B______, plusieurs d’entre elles offrent des prestations similaires en termes de recherche d’écoles privées pour de jeunes étrangers. Le fait que ces prestations soient offertes à titre accessoire par les autres sociétés et à titre principal par B______ n’est pas déterminant, dès lors qu’une offre existe déjà sur le marché. S’il est vrai que l’octroi du permis réclamé par la recourante placerait celle-ci à égalité avec son associé, la recourante ne démontre pas ce que cette circonstance aurait d’innovant en matière d’égalité des sexes par comparaison avec les autres entreprises du canton, étant rappelé que l’OCIRT a par ailleurs établi que le taux d’acceptation des demandes ne variait pas avec le genre. La recourante affirme vouloir mettre en pratique ses compétences acquises dans le domaine de la pédagogie et de l’enseignement, mais elle n’a pas été admise aux programmes de maîtrise en sciences de l’éducation de l’UNIGE ni de la Haute école pédagogique du Canton de Vaud et a obtenu un CAS en droits de l’enfant de l’UNIGE, dont elle ne soutient pas qu’il la qualifierait pédagogiquement. La recourante se prévaut de partenariats d’B______ avec des écoles privées, mais l’OCIRT a observé à juste titre que ces dernières devaient se montrer naturellement intéressées par tout nouveau pourvoyeur d’élèves. Le fait qu’B______ organise des « workshops » ou encore visite les écoles et les évalue – ce qui paraît s’inscrire par principe dans le service de conseil et d’orientation – ne la distingue pas des autres entreprises au point que l’OCIRT et le TAPI auraient dû reconnaître le caractère innovant de son activité et une plus-value pour l’économie genevoise. La recourante allègue dans sa réplique mais n’établit pas que la prestation de « tutelle privée » qu’elle offre serait unique. Le fait qu’elle serait pour deux écoles la partenaire exclusive pour le service de tutelle des élèves E______ n’emporte pas encore que ce type de prestation serait effectivement important et caractéristique de son activité et ne serait pas offert par d’autres acteurs du marché. La chambre de céans observe que nombre d’écoles ou d’instituts proposent l’internat (« boarding ») aux élèves étrangers, comme il ressort de la liste produite par la recourante. Enfin, toujours au chapitre de l’innovation et de la plus-value pour l’économie genevoise, la recourante soutient qu’elle a des concurrentes en E______ et la chambre de céans observe que les écoles privées conduisent elles-mêmes des campagnes de publicité et de recrutement dans plusieurs langues. La recourante critique l’appréciation de l’OCIRT et du TAPI sur le nombre d’emplois créés et leur rémunération et se prévaut de sa prudence. Elle ne conteste toutefois pas que les emplois créés sont peu nombreux et faiblement rémunérés. Elle précise qu’elle a créé un poste à temps partiel destiné à devenir un plein temps en 2023 et engagé deux étudiantes stagiaires rémunérées. Quant aux enseignants dont elle fait état dans sa réplique, on comprend faute d’explications supplémentaires qu’ils ne sont pas des employés mais des vacataires. Il ressort du compte d’exploitation pour l’année 2022 que la recourante a produit que le chiffre d’affaires d’B______ est de CHF 251'046.-, alors que ses charges de personnel, de CHF 57'363.99, comprennent CHF 17'542.50 au titre des salaires, CHF 3'662.68 au titre de la formation continue, CHF 13'660.- au titre des frais de voyages et CHF 20'785.92 au titre des frais de repas, et que les loyers totalisent CHF 9'900.- et les charges de véhicules et de transport CHF 10'339.31. Ces chiffres révèlent un ratio faible de la charge salariale par rapport au chiffre d’affaires et corroborent le caractère très modeste de la création d’emplois. La recourante n’établit pas ni ne soutient d’ailleurs qu’elle créera à l’avenir plus qu’un emploi à temps plein. Enfin, la recourante fait valoir que les écolages payés par les jeunes élèves devraient être comptés comme des investissements. Or la loi a en vue les investissements dans l’entreprise elle-même et la recourante perd de vue que l’écolage est payé par les élèves aux écoles quel que soit l’intermédiaire qui les y a par hypothèse conduits. La recourante échoue ainsi à établir que l’OCIRT aurait commis un excès ou un abus de son pouvoir d’appréciation en concluant que les conditions de l'art. 19 LEI ne sont pas réalisées et en refusant de donner une suite favorable à la demande de la recourante. Les éléments que fait valoir la recourante ne permettent pas de conclure que l'octroi d'une autorisation de séjour avec activité lucrative servirait les intérêts économiques du pays au sens de la loi et de la jurisprudence. Tant l'OCIRT que le TAPI ont correctement appliqué la loi. Entièrement mal fondé, le recours sera rejeté.</w:t>
      </w:r>
    </w:p>
    <w:p>
      <w:r>
        <w:rPr>
          <w:b/>
        </w:rPr>
        <w:t>E. 7</w:t>
      </w:r>
    </w:p>
    <w:p>
      <w:r>
        <w:t>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