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A/2889/2024 vom 31. März 2025</w:t>
      </w:r>
    </w:p>
    <w:p>
      <w:r>
        <w:t>GE Cour de justice, 2025-03-31, FR</w:t>
      </w:r>
    </w:p>
    <w:p>
      <w:r>
        <w:rPr>
          <w:b/>
        </w:rPr>
        <w:t xml:space="preserve">Quelle: </w:t>
      </w:r>
      <w:r>
        <w:t>https://mcp.opencaselaw.ch/entscheid/ge_gerichte_A_2889_2024</w:t>
      </w:r>
    </w:p>
    <w:p>
      <w:r>
        <w:t>FR: GE_GERICHTE A/2889/2024 du 31 mars 2025</w:t>
      </w:r>
    </w:p>
    <w:p>
      <w:r>
        <w:t>IT: GE_GERICHTE A/2889/2024 del 31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point de savoir si, à la suite de sa demande de révision du 29 août 2023, la recourante peut prétendre à une rente d’invalidité entière.</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w:t>
      </w:r>
    </w:p>
    <w:p>
      <w:r>
        <w:rPr>
          <w:b/>
        </w:rPr>
        <w:t>E. 3.2</w:t>
      </w:r>
    </w:p>
    <w:p>
      <w:r>
        <w:t>En l’occurrence, il n’est pas contesté que le droit à la rente est né antérieurement au 1 er janvier 2022. Toutefois, la question litigieuse est de savoir si un motif de révision est survenu, selon l’art. 88 a RAI, à compter de cette date, de sorte que les dispositions applicables seront citées dans leur nouvelle teneur.</w:t>
      </w:r>
    </w:p>
    <w:p>
      <w:r>
        <w:rPr>
          <w:b/>
        </w:rPr>
        <w:t>E. 4.1</w:t>
      </w:r>
    </w:p>
    <w:p>
      <w:r>
        <w:t>Lorsque l’administration entre en matière sur une demande de révision déposée par la personne assurée (art. 87 al. 2 RAI), elle doit traiter l’affaire au fond et vérifier que la modification du degré d’invalidité rendue plausible par l’assuré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 allseitig ») en fait et en droit (arrêt du Tribunal fédéral 9C_4/2021 du 1 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MEYER/ REICHMUTH, Rechtsprechung des Bundesgerichts zum Bundesgesetz über die Invalidenversicherung [IVG], 4 e éd., 2022, n. 122 ad art. 30 LAI).</w:t>
      </w:r>
    </w:p>
    <w:p>
      <w:r>
        <w:rPr>
          <w:b/>
        </w:rPr>
        <w:t>E. 4.2</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4.2.1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également 9C_353/2020 du 5 mai 2021 consid. 2.2 et les références).</w:t>
      </w:r>
    </w:p>
    <w:p>
      <w:r>
        <w:rPr>
          <w:b/>
        </w:rPr>
        <w:t>E. 4.2.2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Margit MOSER-SZELESS, Commentaire romand LPGA, 2018, n. 27 ad art. 17 LPGA et les références). Ainsi, le Tribunal fédéral a retenu que, dans le cadre de la nouvelle évaluation de l’état de santé et de la capacité de travail, un trouble de santé s’ajoutant au tableau clinique existant ne fait pas obstacle à une suppression de la rente (ATF 141 V 9 consid. 5 et 6 ; arrêt du Tribunal fédéral 8C_240/2023 du 14 mars 2024 consid. 7.1.2).</w:t>
      </w:r>
    </w:p>
    <w:p>
      <w:r>
        <w:rPr>
          <w:b/>
        </w:rPr>
        <w:t>E. 5.1</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5.3</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du Tribunal fédéral 9C_603/2015 du 25 avril 2016 consid. 6.1 et la référence).</w:t>
      </w:r>
    </w:p>
    <w:p>
      <w:r>
        <w:rPr>
          <w:b/>
        </w:rPr>
        <w:t>E. 5.4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5.4.1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5.4.2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6.1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6.2</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7.2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9.1</w:t>
      </w:r>
    </w:p>
    <w:p>
      <w:r>
        <w:t>Conformément aux considérants qui précèdent (ci-dessus : consid. 4.2.2), il convient en l’espèce de comparer la situation telle qu’elle se présentait lors de la décision du 26 novembre 2019 avec celle existant au moment de la décision litigieuse, du 8 juillet 2024, pour apprécier le bien-fondé d’une éventuelle révision à opérer en application de l’art. 17 LPGA. Par avis du 19 août 2019, consécutif au rapport d’expertise psychiatrique du 15 juillet 2019 du Dr E______, le SMR a retenu que les diagnostics incapacitants retenus par cet expert – troubles dépressifs récurrents moyens avec syndrome somatique, (F33.1) et troubles paniques avec attaques de panique (F41.0) – limitaient l’exigibilité de toute activité adaptée aux limitations fonctionnelles retenues (tristesse modérée, intolérance au stress avec impulsivité, difficultés de concentration subjectives, fatigue objective avec ralentissement psychomoteur modéré, sans aboulie, sans isolement social total, mais partiel, avec des attaques de panique) à 50% depuis 2017, cela étant également valable pour l’activité habituelle de secrétaire médicale qui était adaptée à ces limitations. Faisant sien l’avis du 19 août 2019 du SMR, l’OAI a, par décision du 26 novembre 2019, octroyé une demi-rente d’invalidité à l’assurée avec effet au 1 er août 2018. À la suite du dépôt, le 29 août 2023, d’une demande de révision par l’assurée, le SMR a estimé le 16 novembre 2023, à l’examen du rapport du 3 novembre 2023 du Dr B______ – qui mentionnait une incapacité de travail totale de l’assurée depuis mai 2023 – que les diagnostics psychiatriques, le constat clinique, le traitement antidépresseur et anxiolytique n’avaient pas subi de modification significative, que ce soit en comparant ce rapport avec la précédente appréciation du Dr B______, du 27 mai 2021, ou avec les conclusions du 19 août 2019 du SMR, elles-mêmes fondées sur le rapport d’expertise du 15 juillet 2019. Aussi le SMR a-t-il estimé le 16 novembre 2023 qu’une aggravation de l’état de santé de l’assurée n’avait pas été rendue plausible et que dans son rapport du 3 novembre 2023, le Dr B______ faisait une appréciation différente d’une même situation médicale. Dans un avis subséquent, daté du 25 janvier 2024, le SMR a en revanche estimé que le courrier du 4 janvier 2024 de l’assurée, cosigné par le Dr B______, rendait plausible une aggravation de l’état de santé de l’assurée sur le plan somatique (possible trouble primaire du sommeil) et nécessitait dès lors des mesures d’instruction. Estimant enfin, le 8 juillet 2024, à la lumière des informations entretemps recueillies sur le plan pneumologique et cardiologique, qu’il ne pouvait pas retenir d’atteinte à la santé somatique qui fût incapacitante de manière notable et durable, le SMR a conclu qu’une aggravation de l’état de santé de l’assurée n’était pas établie et qu’en conséquence, ses conclusions du 19 août 2019 restaient valables. Sur cette base, la décision litigieuse a rejeté la demande de révision du 29 août 2023 et maintenu le droit de l’assurée à une demi-rente. Pour sa part, la recourante soutient que son état de santé psychique s’est péjoré depuis le printemps 2023 non seulement en raison de ses troubles du sommeil – ayant notamment pour composante des apnées du sommeil – mais aussi du fait du trouble de la personnalité émotionnellement labile, type borderline (F60.31), désormais décompensé – alors qu’il ne l’était pas à l’époque des conclusions du SMR du 19 août 2019 – et d’une pharmacologie adaptée en raison d’une aggravation de l’atteinte. Aussi conviendrait-il de reconnaître valeur probante au rapport du 3 novembre 2023 du Dr B______, de réviser la rente en fonction d’un degré d’invalidité de 100% et, si nécessaire, de mettre préalablement en œuvre une expertise bi-disciplinaire, réalisée par un médecin psychiatre et un médecin pneumologue.</w:t>
      </w:r>
    </w:p>
    <w:p>
      <w:r>
        <w:rPr>
          <w:b/>
        </w:rPr>
        <w:t>E. 9.2</w:t>
      </w:r>
    </w:p>
    <w:p>
      <w:r>
        <w:t>Avant d’examiner la valeur probante des rapports sur lesquels se fondent les parties, il sied de rappeler à titre liminaire qu’une modification de la rente par voie de révision suppose que la comparaison des états de fait déterminants dans le temps mette en évidence une modification des circonstances pertinentes (ci-dessus : consid. 4.2.2). On ajoutera que l’objet de la preuve est donc l’existence d’une différence – pertinente pour la décision de révision – ressortant des faits du dossier médical. La constatation de l’état de santé actuel et de ses répercussions fonctionnelles est certes le point de départ de l’évaluation ; elle n’est toutefois pas indépendante, mais n’est pertinente pour la décision de révision que dans la mesure où elle reflète effectivement une différence par rapport à l’état antérieur. La valeur probante d’une expertise rédigée en vue d’une révision de la rente dépend donc essentiellement de la question de savoir si elle se réfère suffisamment à l’objet de la preuve – modification(s) importante(s) de l’état de fait. Ainsi, une évaluation médicale complète, compréhensible et concluante en soi, qui serait probante en vue d’une première évaluation du droit à la rente, est en règle générale dépourvue de valeur probante si cette évaluation (différant d’une évaluation antérieure) n’indique pas suffisamment en quoi une modification de l’état de santé a effectivement eu lieu. Demeurent réservées les situations dans lesquelles il est évident que l’état de santé s’est modifié (arrêt du Tribunal fédéral 9C_60/2023 du 20 juillet 2023 consid. 2.3 et l’arrêt cité ; Diana OSWALD, in KIESER/ KRADOLFER/ LENDFERS [éd.], ATSG-Kommentar, 5 e éd., 2024, n. 36 ad Art. 17 LPGA). Vu qu’en l’espèce, l’OAI a estimé à la faveur des explications du courrier du 4 janvier 2024 de l’assurée et du Dr B______ qu’une aggravation de l’état de santé avait été rendue plausible sur le plan somatique, il convient d’examiner ci-après (consid. 9.3) si les rapports recueillis auprès des pneumologues et cardiologues sont de nature à établir une telle aggravation, au degré de la vraisemblance prépondérante, le même examen s’imposant sur le plan psychique (ci-après : consid. 9.4), étant rappelé que l’entrée en matière sur la demande de révision entraîne l’obligation de procéder à un examen complet en fait et en droit (ci-dessus : consid. 4.1 et ATF 117 V 198 consid. 4b), bien que le SMR ait estimé par avis du 16 novembre 2023 qu’une aggravation de l’état de santé sur le plan psychique n’avait pas été rendue plausible.</w:t>
      </w:r>
    </w:p>
    <w:p>
      <w:r>
        <w:rPr>
          <w:b/>
        </w:rPr>
        <w:t>E. 9.3</w:t>
      </w:r>
    </w:p>
    <w:p>
      <w:r>
        <w:t>Sur le plan somatique, singulièrement pneumologique, il ressort du rapport de du 22 mai 2023 du Dr H______ que ce spécialiste a soumis l’assurée à une PSG pour une suspicion de troubles respiratoires associés au sommeil et qu’à l’issue de l’enregistrement effectué entre 22h12 et 6h01, il a conclu, entre autres, à la présence d’un SAS de degré modéré à sévère et à la présence d’un trouble du rythme cardiaque. Au regard de la symptomatologie de l’assurée, ce médecin a recommandé un traitement par orthèse d’avancement mandibulaire et, alternativement, la mise en place d’un traitement par CPAP. Selon les rapports des 1 er décembre 2023 et 31 janvier 2024 du Dr G______, c’est cette dernière option qui a été mise en place dès juillet 2023, sans qu’elle ne débouche, cinq mois plus tard, sur une amélioration de la qualité du sommeil et de la somnolence diurne, d’ailleurs qualifiée de « non excessive » (score ESS de 7/24 en mai 2023 et de 6/24 le 1 er décembre 2023). Partageant l’appréciation du Dr H______ quant à la présence d’un SAS modéré, le Dr G______ n’en a pas moins précisé, au regard de l’inefficacité de la CPAP, que même si les symptômes nocturnes et diurnes étaient compatibles avec le SAS, ceux-ci n’en étaient pas moins totalement non spécifiques à ce diagnostic pneumologique (dont ne découlaient ni limitations fonctionnelles ni incapacité de travail), mais secondaires aux troubles psychiques (état anxieux, état dépressif, attaques de panique) et à des facteurs non médicaux (hygiène du sommeil perfectible de par le temps passé au lit en dehors des heures de sommeil et la télévision laissée allumée). En ce qui concerne la situation sur le plan cardiaque, il ressort des renseignements recueillis auprès du Dr J______ que le contrôle cardiologique de janvier 2023 était dans les limites de la norme, sans éléments préoccupants, que l’anomalie décelée en juin 2023 par ce spécialiste (importante extrasystolie supraventriculaire avec absence de fibrillation auriculaire) était sans dangerosité et qu’au vu de cette situation, il n’y avait pas lieu d’introduire un éventuel traitement. À la lumière de ces éléments, la chambre de céans considère que le SMR peut être suivi en tant qu’il estime ne pas pouvoir retenir d’aggravation de l’état de santé de la recourante sur le plan somatique, une atteinte incapacitante de manière notable et durable faisant défaut à ce niveau. D’avis contraire, la recourante soutient que le Dr H______ et le Dr G______ auraient émis des avis qui différeraient l’un de l’autre, tant sur les causes de ses troubles du sommeil que sur les traitements adéquats et qu’en conséquence, dans son avis du 8 juillet 2024, le SMR n’était pas fondé à conclure à l’absence d’atteinte incapacitante notable et durable sur le plan somatique. Ces arguments ne sauraient être suivis. La chambre de céans constate en effet que les Drs H______ et G______ s’accordent à retenir un SAS. Pour le reste, leurs rapports ne sont pas comparables, le premier spécialiste cité étant intervenu en amont, en tant que prescripteur d’une CPAP, alors que le second est intervenu six mois plus tard pour effectuer un bilan de cette mesure et en tirer les conclusions (« insomnie comorbide » dont les symptômes sont « totalement non spécifiques » au SAS). De plus, le Dr H______ ne se prononce ni sur la capacité de travail ni sur les limitations fonctionnelles, contrairement au Dr G______. Aussi convient-il de considérer à la lumière des explications claires, cohérentes et non contredites du Dr G______, qu’en l’absence de limitations fonctionnelles, de réduction de la capacité de travail et de répercussions sur les actes de la vie quotidienne existant en lien avec un diagnostic pneumologique, le SMR était fondé à conclure à l’absence d’aggravation de l’état de santé qui reposerait sur une atteinte incapacitante notable et durable sur le plan somatique. Ainsi, compte tenu de l’absence de répercussions spécifiques au SAS, la question de savoir si dans le cadre de la comparaison temporelle déterminante (ci-dessus : consid. 9.1 in initio ), l’insomnie « comorbide » est nouvelle et/ou se traduit par un changement clairement objectivé de la situation clinique depuis la décision du 26 novembre 2019 sera examinée ci-après (consid. 9.4).</w:t>
      </w:r>
    </w:p>
    <w:p>
      <w:r>
        <w:rPr>
          <w:b/>
        </w:rPr>
        <w:t>E. 9.4</w:t>
      </w:r>
    </w:p>
    <w:p>
      <w:r>
        <w:t>Sur le plan psychiatrique, la situation prévalant à l’époque de cette décision ressort du rapport d’expertise du Dr E______. On signalera à titre liminaire que les troubles du sommeil étaient déjà d’actualité à cette époque et que l’expert les a pris en compte notamment dans l’examen de la dépression, sans que leurs répercussions ne se distinguent de celles retenues par le pneumologue G______ : « l’expertisée fait mention de difficultés d’endormissement fréquents sans réveils nocturnes systématiques, mais ponctuels en fonction de ses angoisses. Toutefois, on ne retient pas de répercussions significatives sur les activités de la vie quotidienne [en] l’absence d’une somnolence diurne au moment de l’expertise » (dossier AI, doc. 34, p. 144-145). En outre, les limitations fonctionnelles retenues par l’expert intégraient notamment la présence d’une « fatigue objective avec ralentissement psychomoteur modéré » (dossier AI, doc. 34, p. 154). Pour le surplus, on rappellera que sur les trois diagnostics posés par l’expert, seuls les troubles dépressifs récurrents moyens avec syndrome somatique (F33.11) et les troubles paniques avec attaques de paniques (F41.0) avaient une répercussion sur la capacité de travail, le trouble mixte de la personnalité émotionnellement labile de type borderline et dépendante (F61) n’en ayant pas. À cet égard, l’expert précisait qu’en l’absence d’une hospitalisation en psychiatrie et d’une prise en charge hebdomadaire, ce trouble de la personnalité était actuellement non décompensé (dossier AI, doc. 34, p. 150) et n’avait « pas empêché l’assurée à se former dans le passé sans limitations en dehors des épisodes dépressifs récurrents moyens avec syndrome somatique » (dossier AI, doc. 34, p. 151). S’agissant de la situation décrite par le Dr B______ à l’appui de la demande de révision du 29 août 2023, ce médecin pose les mêmes diagnostics que l’expert E______ dans son rapport du 3 novembre 2023, à ceci près qu’il considère que le trouble mixte de la personnalité émotionnellement labile de type borderline et dépendante (F61) a également une répercussion sur la capacité de travail de l’assurée, qu’il juge nulle depuis mai 2023. On constate cependant à l’examen des rapports antérieurs du Dr B______ que ce médecin a considéré de tout temps que le diagnostic précité était incapacitant, que ce soit à l’époque de l’expertise du Dr E______ ou plus récemment (notamment ses rapports des 11 mai 2018 et 27 mai 2021, concluant au demeurant à une capacité de travail de 50%). En outre, en se penchant sur le rapport du 3 novembre 2023 du Dr B______, on constate que ce médecin ne répond pas à la question « quelle a été l’évolution de l’état de santé de votre patient/e depuis le début (spécifier la date) de votre prise en charge » (dossier AI, doc. 70, p. 273), mais qu’il se contente de décrire le traitement psychotrope en cours, si bien qu’on peine à déceler une corrélation entre la péjoration de la capacité de travail (0% depuis mai 2023 aux dires de ce psychiatre traitant) et un changement clairement objectivé de la situation clinique et des limitations fonctionnelles décrites dans l’expertise psychiatrique de 2019. On constate néanmoins que la question de l’évolution de l’état de santé de la recourante est abordée de manière plus détaillée par le Dr B______ dans son rapport du 19 décembre 2024. Il y précise en effet que « lors de la première demande pour une rente d’invalidité en "2008" [ recte : 2018], la question de demander une rente partielle ou entière [s’était] posée. En effet, la patiente présentait déjà à l’époque un tableau qui pouvait justifier une demande d’une rente entière en raison de l’intensité des troubles existants. Finalement et dans le but de préserver un éventuel potentiel d’intégration professionnelle et de maintenir un minimum d’intégration sociale et également renforcer l’estime de soi, nous [avions] opté pour une demande de rente partielle. Mais l’évolution ultérieure de l’état clinique avec absence d’une stabilité durable et une sensibilité exacerbée aux stress professionnel et social, avec un épuisement psychologique croissant, [n’avaient] pas permis de maintenir cet objectif. La dernière expérience professionnelle en 2019 [était] venue confirmer ce constat de vulnérabilité psychologique trop importante pour permettre à la patiente d’assumer un poste de travail dans la durée. Actuellement, le[s] traitement[s] psychothérapeutique et médicamenteux sont optimaux, on ne peut [pas] envisager une amélioration notable de l’état de santé de la patiente et de ce fait, il n’y aura pas d’amélioration de la capacité à assumer un poste de travail dans un avenir proche. [L’assurée] est actuellement en incapacité de travail à 100% et ceci probablement pour une durée minimale de 2 à 3 ans. Ce délai est nécessaire pour la patiente pour sortir du cercle vicieux de l’anticipation anxieuse des situations professionnelles et sociales anxiogènes et paralysantes, qui entretiennent les troubles en cours. La rupture de ce mécanisme d’anticipation pourrait augmenter la probabilité d’une meilleure stabilisation de son état de santé et lui permettre de se concentrer pour tenter de mettre en place une organisation de son quotidien moins énergivore, sans disperser son énergie psychologique qui est déjà très réduite depuis des années » (rapport du 19 décembre 2024 du Dr B______). La chambre de céans constate toutefois que, dans son rapport du 11 mai 2018, soumis à l’appréciation de l’expert E______, le Dr B______ rapportait déjà, outre « des troubles chroniques du sommeil évoluant depuis le début de l’âge adulte », « une anticipation anxieuse des situations d’interaction, aussi bien sociale que professionnelle » ainsi qu’une « évolution marquée par la labilité de l’état clinique avec des décompensations fréquentes de l’état thymique et une exacerbation de l’anxiété avec de[s] épisodes d’attaque de panique qui augmentent le comportement d’évitement et d’isolement », tout en concluant à une capacité de travail de 50% dans une activité adaptée (dossier AI, doc. 17, p. 72-74). On ajoutera que, dans son rapport du 27 mai 2021, pourtant postérieur à la dernière expérience professionnelle en 2019 – qui est présentée comme un point de bascule dans le rapport du 19 décembre 2024 –, le Dr B______ faisait mention d’une absence de modification notable de l’état de santé depuis l’octroi de la rente et d’un « état fluctuant avec instabilité émotionnelle et des objectifs. Instabilité relationnelle et conflits fréquents » et attestait une capacité de travail de 50% dans une activité adaptée, à l’instar de l’expert E______ qui retenait en 2019 que ce taux d’activité correspondait aux capacités fonctionnelles effectives de l’intéressée (sur cette notion : ci-dessus : consid. 5.4.2). Au regard de la symptomatologie essentiellement identique ressortant, à six ans d’intervalle, des rapports des 11 mai 2018 et 19 décembre 2024 précités et de la motivation avancée pour expliquer le passage à une incapacité de travail totale depuis mai 2023 (« sortir du cercle vicieux de l’anticipation anxieuse des situations professionnelles et anxiogènes et paralysantes »), le Dr B______ procède en définitive à une appréciation différente d’un état de fait qui, pour l’essentiel, est demeuré inchangé depuis la décision du 26 novembre 2019, de sorte que la preuve d’une modification importante de l’état de fait – qui serait survenue depuis lors – n’a pas été rapportée au degré requis de la vraisemblance prépondérante. Il s’ensuit que la décision litigieuse pouvait se fonder valablement sur l’avis du 8 juillet 2024 du SMR, concluant à l’absence d’aggravation de l’état de santé. Sur ce point décisif pour l’issue du litige, les rapports médicaux versés au dossier sont suffisamment circonstanciés et explicites. En conséquence, la chambre de céans refusera, par appréciation anticipée des preuves (ci-dessus : consid. 8.2), de donner suite favorablement aux diverses mesures d’instruction sollicitées par la recourante.</w:t>
      </w:r>
    </w:p>
    <w:p>
      <w:r>
        <w:rPr>
          <w:b/>
        </w:rPr>
        <w:t>E. 10</w:t>
      </w:r>
    </w:p>
    <w:p>
      <w:r>
        <w:t>Compte tenu de ce qui précède, le recours est rejeté.</w:t>
      </w:r>
    </w:p>
    <w:p>
      <w:r>
        <w:rPr>
          <w:b/>
        </w:rPr>
        <w:t>E. 11</w:t>
      </w:r>
    </w:p>
    <w:p>
      <w:r>
        <w:t>Un émolument de CHF 200.- est mis à charge de la recourante, qui n’obtient pas gain de cause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