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A/2889/2020 vom 5. Oktober 2021</w:t>
      </w:r>
    </w:p>
    <w:p>
      <w:r>
        <w:t>GE Cour de justice, 2021-10-05, FR</w:t>
      </w:r>
    </w:p>
    <w:p>
      <w:r>
        <w:rPr>
          <w:b/>
        </w:rPr>
        <w:t xml:space="preserve">Quelle: </w:t>
      </w:r>
      <w:r>
        <w:t>https://mcp.opencaselaw.ch/entscheid/ge_gerichte_A_2889_2020</w:t>
      </w:r>
    </w:p>
    <w:p>
      <w:r>
        <w:t>FR: GE_GERICHTE A/2889/2020 du 5 octobre 2021</w:t>
      </w:r>
    </w:p>
    <w:p>
      <w:r>
        <w:t>IT: GE_GERICHTE A/2889/2020 del 5 ottobre 2021</w:t>
      </w:r>
    </w:p>
    <w:p>
      <w:pPr>
        <w:pStyle w:val="Heading2"/>
      </w:pPr>
      <w:r>
        <w:t>Erwägungen</w:t>
      </w:r>
    </w:p>
    <w:p>
      <w:r>
        <w:rPr>
          <w:b/>
        </w:rPr>
        <w:t>E. 31</w:t>
      </w:r>
    </w:p>
    <w:p>
      <w:r>
        <w:t>OASA puisqu’il remplissait aussi les conditions d’un cas de rigueur au sens des dispositions précitées. Enfin, plus subsidiairement, il avait violé l’art. 8 CEDH. Il n'a pas produit de nouvelles pièces. 21) L'OCPM a conclu au rejet du recours. 22) Le recourant n'ayant pas souhaité répliquer dans le délai qui lui avait été imparti, les parties ont été informées le 30 juin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sollicité son audition ainsi que celle de dix-sept témoins.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d'exposer ses arguments et de produire des pièces, tant devant l'OCPM que le TAPI et la chambre de céans. Il y a en particulier exposé qu’il séjourne depuis 2010 à Genève. Il n'apparaît pas que son audition soit de nature à apporter d'autres éléments pertinents que ceux qu'il a déjà exposés par écrit ; il ne le soutient d'ailleurs pas. Par ailleurs, l'audition sollicitée de dix-sept témoins, respectivement amis, commerçants, anciens collègues, sous-locataires, notamment, voire belle-sœur devrait attester de sa présence en Suisse depuis 2010 et de son intégration. Or, comme cela sera exposé ci-après, ces éléments, même s’ils étaient établis, ne sont pas de nature à modifier l'issue du litige. De surcroît, les personnes dont l'audition est demandée, pour autant qu'ils puissent être entendus comme témoins s'agissant pour certains de membres de la famille du recourant, ont versé au dossier des attestations et se sont en conséquence déjà exprimés sur les faits pertinents. Il ne sera donc pas donné suite aux actes d’instruction demandés. Pour les mêmes motifs, le TAPI, qui a procédé à une appréciation anticipée des preuves, n’a pas violé le droit d’être entendu du recourant en ne donnant pas suite aux auditions sollicitées. 3) a. Le 1 er janvier 2019 est entrée en vigueur une modification de la loi sur les étrangers du 16 décembre 2005 (LEtr), qui a alors été renommée LEI, et de l’OASA. Conformément à l'art. 126 al. 1 LEI, les demandes déposées avant le 1 er janvier 2019 sont régies par l'ancien droit (arrêt du Tribunal fédéral 2C_1075/2019 du 21 avril 2020 consid. 1.1). b. En l'espèce, le recourant a déposé sa demande d'autorisation le 21 décembre 2018. Il s'ensuit que c'est l'ancien droit qui s'applique, soit la LEI et l'OASA dans leur teneur avant le 1 er janvier 2019, étant néanmoins précisé que les nouvelles dispositions sont restées pour la plupart identiques, si bien que leur application ne modifierait pas l'issue du litige compte tenu de ce qui suit. 4)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Macédoine du Nord.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5) a.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ATA/1099/2018 du 16 octobre 2018 consid. 2a).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6) L'opération Papyrus,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L'opération Papyrus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L'opération Papyrus a pris fin le 31 décembre 2018. 7) En l'espèce, le recourant est entré en Suisse, sans titre de séjour, selon ses déclarations, en juillet 2010. Ainsi, au moment du dépôt de sa demande de délivrance d'une autorisation de séjour le 21 décembre 2018, il séjournait en Suisse tout au plus depuis huit ans et demi. Partant, il ne remplit pas la condition d'un séjour régulier d'au moins dix ans exigé dans le cadre de l'opération Papyrus, ce qu'il n'a pas contesté dans sa requête initiale du 21 décembre 2018 où il mentionnait « réaliser presque cette condition ». Par ailleurs, partir du postulat qu'il serait arrivé en Suisse en juillet 2010, comme il le mentionne et comme retenu par hypothèse ci-dessus, rend sans pertinence les demande d'audition des témoins avec qui il aurait eu des activités en 2010 (Mmes  H______ et I______, ainsi que MM. J______ et K______ ainsi que son frère M. A______) et les discussions sur la force probante des pièces produites, notamment l'attestation de Monsieur K______ qui l'aurait logé entre 2010 et 2013 ou des tenanciers de café, à l'instar du ______ et du ______. Le recourant soutient que les années passées entre 10 et 20 ans devraient compter double et applique par analogie les règles de la naturalisation. Ce raisonnement ne repose sur aucune base légale. Les conditions prévues dans l'opération Papyrus ne le prévoient pas non plus, ce que le recourant ne soutient au demeurant pas. Le calcul auquel il procède ne peut en conséquence pas être suivi. Le recourant se prévaut d’une jurisprudence de la chambre administrative ( ATA/1585/2019 du 29 octobre 2019). Toutefois, le cas jugé par celle-ci n’était pas comparable au sien, la personne concernée étant en Suisse déjà en mai 2009 et ayant accumulé au 31 décembre 2018 neuf années et huit mois de séjour. Or, le recourant n'aurait, tout au plus, que huit années et six mois à son bénéfice. Pour le surplus et surtout, d'autres circonstances ont été prises en compte dans le cas précité, s'agissant d'une femme de plus de 50 ans, qui travaillait dans l'économie domestique, sans famille dans son pays d'origine mais ayant une famille à Genève, et qui, notamment, s'investissait dans la vie locale. Ainsi, si certes l'arrêt fait mention du fait que les conditions de l’opération Papyrus sont remplies, il mentionne expressément que la chambre administrative a considéré que dans le cas concerné, « les critères légaux en vigueur pour l'examen des cas individuels d'extrême gravité, éta[ie]nt remplis ». Or, comme retenu ci-dessous, tel n'est pas le cas du recourant. 8) a. Le recourant critique le TAPI qui n'aurait pas analysé les critères de l'art. 58 al. 1 LEI. Cette critique tombe à faux, l'art. 58 a LEI n'étant pas applicable au cas d'espèce, la demande ayant été déposée avant le 31 décembre 2018, conformément au consid. 3a qui précède. b. Le recourant se prévaut d'avoir respecté l'ordre et la sécurité publics suisses, d'avoir un casier judiciaire vierge, d'être indépendant financièrement, de n'avoir jamais touché les prestations d'aide sociale et d'être décrit par ses amis et connaissances comme quelqu'un de respectueux, responsable et honnête. De jurisprudence constante, l'absence d'infractions pénales, tout comme l'indépendance économique, sont des aspects qui sont en principe attendus de tout étranger désireux de s'établir durablement en Suisse et ne constituent donc pas un élément extraordinaire en sa faveur (arrêts du Tribunal fédéral 2C_779/2016 du 13 septembre 2016 consid. 4.2 ; 2C_789/2014 du 20 février 2015 consid. 2.2.2). De même,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c. Pour le surplus, s'agissant de son intégration (art. 31 let. a OASA), il n'apparaît pas qu’il se soit créé des attaches particulièrement étroites avec la Suisse au point de rendre étranger son pays d'origine. En effet, il est arrivé en Suisse quelques jours avant d'avoir 17 ans et a donc vécu toute son enfance et son adolescence en Macédoine du Nord, de sorte que la chambre de céans ne saurait admettre que les années passées en Suisse soient déterminantes pour la formation de sa personnalité et, partant, pour son intégration socio-culturelle. Par ailleurs, il ne s'est pas investi personnellement, que ce soit dans la vie associative ou dans la culture genevoise. Les activités alléguées par le recourant, à savoir « jouer au football le dimanche », aller faire des pique-niques dans les parcs, se rendre à la piscine de Carouge, aux fêtes de Genève ou se « balader au bord du lac Léman » ne témoignent pas d'une intégration exceptionnelle (arrêts du TAF F-6480/2016 du 15 octobre 2018 consid. 8.2 et C-5235/2013 du 10 décembre 2015 consid. 8.2). Sur le plan professionnel et financier, il ne peut par ailleurs tirer argument du fait que ses seules activités professionnelles l'ont été en Suisse, puisqu'il y est venu illégalement et y a travaillé sans autorisation. Les activités du recourant, qui a œuvré dans le domaine de l'étanchéité ne sont pas constitutives d'une ascension professionnelle remarquable et ne l'ont pas conduit à acquérir des connaissances professionnelles spécifiques à la Suisse, comme pourrait l'être une formation dans l'horlogerie par exemple ( ATA/526/2021 du 18 mai 2021), qu'il ne pourrait mettre à profit dans un autre pays, en particulier son pays d'origine. L'activité professionnelle exercée par l'intéressé en Suisse ne lui permet donc pas de se prévaloir d'une intégration professionnelle exceptionnelle au sens strict de la jurisprudence précitée quand bien même il a été apprécié de ses employeurs respectifs. Le recourant n'a pas d'enfant scolarisé à Genève et ne peut en conséquence pas tirer argument de sa situation familiale (art. 31 let. c OASA). Au contraire, il est père de deux fillettes domiciliées en Macédoine du Nord, nées le ______ 2017 et le ______ 2018. Sa volonté de prendre part à la vie économique est établie (art. 31 let. d OASA). Comme relevé ci-avant, la durée de sa présence en Suisse doit être relativisée. Elle était de huit ans et six mois au 31 décembre 2018, durée passée dans l'illégalité. Il est depuis le dépôt de sa requête au bénéfice d'une simple tolérance des autorités (art. 31 let. e OASA). Son état de santé ne justifie pas qu'il soit autorisé à séjourner à Genève. Il est jeune et apte à travailler (at. 31 let. f OASA). S'agissant de ses possibilités de réintégration dans son pays d'origine (art. 31 let. g OASA), il est né en Macédoine du Nord, dont il parle la langue et où il a vécu son enfance et son adolescence. Il est en excellente santé, apte à travailler et, de retour dans son pays d'origine, dans lequel il s'est rendu à plusieurs reprises depuis qu'il séjourne en Suisse, pour des raisons familiales, il pourra faire valoir l'expérience professionnelles et les connaissances linguistiques acquises en Suisse, notamment dans le domaine de l'étanchéité notamment ainsi que dans les autres domaines professionnels qu'il indique avoir pratiqué tels que la restauration dans un « snack ». Il a par ailleurs des attaches profondes en Macédoine du Nord où il retourne régulièrement. Y vivent notamment ses deux filles et son épouse qu'il est régulièrement allé voir. Par ailleurs, lors de sa demande de visa du 11 avril 2019, il a invoqué devoir aller rendre visite non seulement à ses filles, mais aussi à ses parents. Sans nier son attachement aux membres de sa famille présents à Genève, notamment son frère, cet élément n'est pas déterminant. Enfin, les montants de prévoyance accumulés pourront lui être utiles pour se réinsérer en Macédoine du Nord. Dans ces circonstances, quand bien même certains des points à analyser sont en faveur du recourant, à l'instar de sa volonté de participer à la vie économique, il n'apparaît pas que les difficultés auxquelles il devrait faire face en cas de retour en Macédoine du Nord seraient pour lui plus graves que pour la moyenne des étrangers, en particulier des ressortissants macédoniens retournant dans leur pays. Il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le recourant et l'instance précédente à confirmer ledit refus. 9) Le recourant se prévaut d’une violation de l’art. 8 CEDH. a. Aux termes de l’art. 8 de la CEDH, toute personne a notamment droit au respect de sa vie privée et familiale. Cette disposition ne confère en principe pas un droit à séjourner dans un État déterminé. Les États contractants ont en effet le droit de contrôler, en vertu d'un principe de droit international bien établi, l'entrée, le séjour et l'éloignement des non-nationaux (arrêts CourEDH El Ghatet contre Suisse du 8 novembre 2016, requête n° 56971/10, § 44; B.A.C. contre Grèce du 13 octobre 2016, requête n° 11981/15, § 35 et les nombreuses références citées; ATF 143 I 21 consid. 5.1;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b. En l'espèce, le recourant dispose certes d'attaches familiales importantes en Suisse où résident notamment son frère et sa belle-sœur, avec lesquels il habite ainsi que des oncles et tantes et leurs familles. Cela étant, ces relations ne sont pas couvertes par l'art. 8 CEDH, dès lors que, d'après la jurisprudence du Tribunal fédéral, les relations familiales qui peuvent fonder, en vertu de l'art. 8 § 1 CEDH, un droit à une autorisation de police des étrangers sont avant tout les rapports entre époux ainsi qu'entre parents et enfants vivant ensemble (ATF 140 I 77 consid. 5.2 ; 137 I 113 consid. 6.1 ; 135 I 143 consid. 1.3.2). Or, le recourant est majeur et n'a pas démontré un quelconque lien de dépendance avec un membre de sa famille vivant en Suisse permettant l'application de l'art. 8 CEDH sous l'angle de la protection de la vie familiale (ATF 129 II 11 consid. 2, arrêt du Tribunal fédéral 2C_969/2017 du 2 juillet 2018 consid. 1.1.2). Il s'ensuit que la décision litigieuse est conforme aux exigences posées par l'art. 8 CEDH et la jurisprudence applicable en la matière. Son argumentation en lien avec la jurisprudence de la Cour EDH fondée sur l'arrêt Grezginci contre Suisse n'apparaît pas convaincante, une violation de l'art. 8 CEDH ayant été écartée dans l'arrêt susmentionné, après un séjour de trente années. De surcroît, c'est en Macédoine du Nord que résident ses deux filles âgées de 4 et 5 ans ainsi que son épouse. Le grief est mal fondé. 10) a. Aux termes de l’art. 64 al. 1 let. c LEI, tout étranger dont l’autorisation est refusée, révoquée ou n’est pas prolongée après un séjour autorisé est renvoyé. La décision de renvoi est assortie d’un délai de départ raisonnable (art. 64d al. 1 LEI). b.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le recourant n’allègue pas que son retour dans son pays d’origine serait impossible, illicite ou inexigible au regard de l’art. 83 LEI, et le dossier ne laisse pas apparaître d’éléments qui tendraient à démontrer le contraire. Dans ces circonstances, la décision de l'autorité intimée est conforme au droit et le recours contre le jugement du TAPI, entièrement mal fondé, sera rejeté. 11) Vu l'issue du litige, un émolument de CHF 400.-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