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A/2884/2022 vom 14. Februar 2023</w:t>
      </w:r>
    </w:p>
    <w:p>
      <w:r>
        <w:t>GE Cour de justice, 2023-02-14, FR</w:t>
      </w:r>
    </w:p>
    <w:p>
      <w:r>
        <w:rPr>
          <w:b/>
        </w:rPr>
        <w:t xml:space="preserve">Quelle: </w:t>
      </w:r>
      <w:r>
        <w:t>https://mcp.opencaselaw.ch/entscheid/ge_gerichte_A_2884_2022</w:t>
      </w:r>
    </w:p>
    <w:p>
      <w:r>
        <w:t>FR: GE_GERICHTE A/2884/2022 du 14 février 2023</w:t>
      </w:r>
    </w:p>
    <w:p>
      <w:r>
        <w:t>IT: GE_GERICHTE A/2884/2022 del 14 febbraio 2023</w:t>
      </w:r>
    </w:p>
    <w:p>
      <w:pPr>
        <w:pStyle w:val="Heading2"/>
      </w:pPr>
      <w:r>
        <w:t>Erwägungen</w:t>
      </w:r>
    </w:p>
    <w:p>
      <w:r>
        <w:rPr>
          <w:b/>
        </w:rPr>
        <w:t>E. 8</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références).![endif]&gt;![if&gt; En particulier,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w:t>
      </w:r>
    </w:p>
    <w:p>
      <w:r>
        <w:rPr>
          <w:b/>
        </w:rPr>
        <w:t>E. 9</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![endif]&gt;![if&gt;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U.80/05 du 18 novembre 2005 consid.1.1).</w:t>
      </w:r>
    </w:p>
    <w:p>
      <w:r>
        <w:rPr>
          <w:b/>
        </w:rPr>
        <w:t>E. 10</w:t>
      </w:r>
    </w:p>
    <w:p>
      <w:r>
        <w:t>Aux termes de l'art. 10 al. 1 LAA, l'assuré a droit au traitement médical approprié des lésions résultant de l'accident. Si l’assuré est totalement ou partiellement incapable de travailler (art. 6 LPGA) à la suite de l'accident, il a droit à une indemnité journalière (art. 16 al. 1 LAA). Le droit à l'indemnité prend naissance le troisième jour qui suit celui de l'accident et s'éteint dès que l'assuré a recouvré sa pleine capacité de travail, dès qu'une rente est versée ou dès que l'assuré décède (art. 16 al. 2 LAA).![endif]&gt;![if&gt;</w:t>
      </w:r>
    </w:p>
    <w:p>
      <w:r>
        <w:rPr>
          <w:b/>
        </w:rPr>
        <w:t>E. 10.1</w:t>
      </w:r>
    </w:p>
    <w:p>
      <w:r>
        <w:t>Le traitement médical et les indemnités journalières appartiennent, selon la jurisprudence fédérale, aux prestations temporaires (ATF 134 V 109 consid. 4.1 et 133 V 57 consid. 6.6 et 6.7).![endif]&gt;![if&gt;</w:t>
      </w:r>
    </w:p>
    <w:p>
      <w:r>
        <w:rPr>
          <w:b/>
        </w:rPr>
        <w:t>E. 10.2</w:t>
      </w:r>
    </w:p>
    <w:p>
      <w:r>
        <w:t>La limite temporelle de la prise en charge, par l’assureur-accidents, des prestations temporaires précitées (traitement et indemnités journalières) ressort de l’art. 19 LAA relatif aux rentes d’invalidité, qui, pour autant que les conditions soient remplies, prennent le relais des prestations temporaires (ATF 134 V 109 consid. 4.1). À teneur de la disposition précitée, le droit à la rente prend naissance dès qu'il n'y a plus lieu d'attendre de la continuation du traitement médical une sensible amélioration de l'état de l'assuré et que les éventuelles mesures de réadaptation de l'assurance-invalidité ont été menées à terme (art. 19 al. 1, 1 ère phrase LAA). L'art. 19 al. 1 LAA délimite temporellement le droit au traitement médical et le droit à la rente d'invalidité, le moment déterminant étant celui auquel l'état de santé peut être considéré comme relativement stabilisé (ATF 134 V 109 consid. 4.1; arrêts du Tribunal fédéral 8C_1023/2008 du 1 er décembre 2009 consid. 5.1; U.305/03 du 31 août 2004 consid. 4.1; U.391/00 du 9 mai 2001 consid. 2a), étant précisé que le droit au traitement médical existe aussi longtemps qu'on peut en attendre une amélioration sensible de l'état de santé de l'assuré (ATF 116 V 44 consid. 2c).![endif]&gt;![if&gt;</w:t>
      </w:r>
    </w:p>
    <w:p>
      <w:r>
        <w:rPr>
          <w:b/>
        </w:rPr>
        <w:t>E. 10.3</w:t>
      </w:r>
    </w:p>
    <w:p>
      <w:r>
        <w:t>Il en va de même des indemnités journalières conformément à l’art. 16 al. 2 LAA, lequel stipule que le droit à l’indemnité s’éteint dès qu’une rente est versée. La naissance du droit à la rente supprime ainsi le traitement médical et les indemnités journalières (ATF 134 V 109 consid. 4.1). En effet, le droit au traitement médical et aux indemnités journalières cesse dès la naissance du droit à la rente au sens de l'art. 19 al. 1 LAA (art. 16 al. 2 LAA et art. 19 al. 1, 2 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(arrêt du Tribunal fédéral 8C_1023/2008 du 1er décembre 2009 consid. 5.2 et les références citées).![endif]&gt;![if&gt;</w:t>
      </w:r>
    </w:p>
    <w:p>
      <w:r>
        <w:rPr>
          <w:b/>
        </w:rPr>
        <w:t>E. 10.4</w:t>
      </w:r>
    </w:p>
    <w:p>
      <w:r>
        <w:t>Savoir ce que signifie une sensible amélioration de l'état de l'assuré (« namhaften Besserung des Gesundheitszustandes des Versicherten »; « un sensibile miglioramento della salute dell'assicurato ») au sens de l’art. 19 al. 1 LAA n'est pas précisé par le texte légal. L'assurance-accidents sociale étant orientée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 consid. 4.3 et les références citées ; voir également les arrêts du Tribunal fédéral U.244/04 du 20 mai 2005 et U.412/00 du 5 juillet 2001).![endif]&gt;![if&gt;</w:t>
      </w:r>
    </w:p>
    <w:p>
      <w:r>
        <w:rPr>
          <w:b/>
        </w:rPr>
        <w:t>E. 10.5</w:t>
      </w:r>
    </w:p>
    <w:p>
      <w:r>
        <w:t>En résumé, l’assureur-accidents ne peut clore le cas, à savoir mettre un terme à la prise en charge du traitement médical et au versement des indemnités journalières, que s'il n'y a plus lieu d'attendre de la continuation du traitement médical une sensible amélioration de l'état de l'assuré, ce par quoi il faut entendre l'amélioration ou la récupération de la capacité de travail (ATF 134 V 109 consid. 4.3; 133 V 57 consid. 6.6.2; 128 V 169 consid. 1; 116 V 41 consid. 2c; cf. également ATAS/882/2016 du 24 octobre 2016 consid. 5c).![endif]&gt;![if&gt;</w:t>
      </w:r>
    </w:p>
    <w:p>
      <w:r>
        <w:rPr>
          <w:b/>
        </w:rPr>
        <w:t>E. 10.6</w:t>
      </w:r>
    </w:p>
    <w:p>
      <w:r>
        <w:t>Par ailleurs, lorsque, d’une part, on ne peut attendre de la continuation du traitement une amélioration notable de l’état de l’assuré au sens de l’art. 19 al. 1 LAA et que, d’autre part, les conditions de l’art. 21 al. 1 LAA (relatif au traitement médical après la fixation de la rente) ne sont pas remplies, l’assureur-accidents n’a pas à prendre en charge le traitement médical. C’est alors à l’assurance-maladie obligatoire d’intervenir (ATF 134 V 109 consid. 4.2 in fine).![endif]&gt;![if&gt;</w:t>
      </w:r>
    </w:p>
    <w:p>
      <w:r>
        <w:rPr>
          <w:b/>
        </w:rPr>
        <w:t>E. 11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Le Conseil fédéral édicte des prescriptions détaillées sur le calcul de l'indemnité (al. 2).![endif]&gt;![if&gt;</w:t>
      </w:r>
    </w:p>
    <w:p>
      <w:r>
        <w:rPr>
          <w:b/>
        </w:rPr>
        <w:t>E. 11.1</w:t>
      </w:r>
    </w:p>
    <w:p>
      <w:r>
        <w:t>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2d).![endif]&gt;![if&gt;</w:t>
      </w:r>
    </w:p>
    <w:p>
      <w:r>
        <w:rPr>
          <w:b/>
        </w:rPr>
        <w:t>E. 11.2</w:t>
      </w:r>
    </w:p>
    <w:p>
      <w:r>
        <w:t>Selon l’art. 36 OLAA édicté conformément à la délégation de compétence de l’art. 25 al. 2 LAA, une atteinte à l'intégrité est réputée durable lorsqu'il est prévisible qu'elle subsistera avec au moins la même gravité pendant toute la vie (al. 1, 1 ère phrase);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phrase).![endif]&gt;![if&gt;</w:t>
      </w:r>
    </w:p>
    <w:p>
      <w:r>
        <w:rPr>
          <w:b/>
        </w:rPr>
        <w:t>E. 11.3</w:t>
      </w:r>
    </w:p>
    <w:p>
      <w:r>
        <w:t>Cette disposition a été jugée conforme à la loi en tant qu'elle définit le caractère durable de l'atteinte (ATF 133 V 224 consid. 2; arrêt du Tribunal fédéral des assurances U.401/06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202).![endif]&gt;![if&gt;</w:t>
      </w:r>
    </w:p>
    <w:p>
      <w:r>
        <w:rPr>
          <w:b/>
        </w:rPr>
        <w:t>E. 11.4</w:t>
      </w:r>
    </w:p>
    <w:p>
      <w:r>
        <w:t>Le taux d'une atteinte à l'intégrité doit être évalué exclusivement sur la base de constatations médicales (ATF 115 V 147 consid. 1; ATF 113 V 218 consid. 4b; RAMA 2004 p. 415; arrêt du Tribunal fédéral des assurances U.134/03 du 12 janvier 2004 consid. 5.2).![endif]&gt;![if&gt;</w:t>
      </w:r>
    </w:p>
    <w:p>
      <w:r>
        <w:rPr>
          <w:b/>
        </w:rPr>
        <w:t>E. 11.5</w:t>
      </w:r>
    </w:p>
    <w:p>
      <w:r>
        <w:t>Entre le 1 er janvier 2000 et le 31 décembre 2007, le montant maximum du gain assuré s'élevait à CHF 106'800.- par an et CHF 293.- par jour (art. 22 al. 1 aOLAA; RO 1998 2588).![endif]&gt;![if&gt;</w:t>
      </w:r>
    </w:p>
    <w:p>
      <w:r>
        <w:rPr>
          <w:b/>
        </w:rPr>
        <w:t>E. 11.6</w:t>
      </w:r>
    </w:p>
    <w:p>
      <w:r>
        <w:t>En cas de rechute ou de séquelles tardives, la base de calcul déterminante pour le calcul de l'indemnité pour atteinte à l'intégrité due est le montant maximum du gain annuel assuré au jour de l'accident (ATF 127 V 456 consid. 4).![endif]&gt;![if&gt;</w:t>
      </w:r>
    </w:p>
    <w:p>
      <w:r>
        <w:rPr>
          <w:b/>
        </w:rPr>
        <w:t>E. 11.7</w:t>
      </w:r>
    </w:p>
    <w:p>
      <w:r>
        <w:t>L’annexe 3 à l'OLAA comporte un barème – reconnu conforme à la loi et non exhaustif (ATF 113 V 218 consid. 2a; RAMA 1988 p. 236) – des lésions fréquentes et caractéristiques, évaluées en pour cent (ATF 124 V 209 consid. 4bb).![endif]&gt;![if&gt;</w:t>
      </w:r>
    </w:p>
    <w:p>
      <w:r>
        <w:rPr>
          <w:b/>
        </w:rPr>
        <w:t>E. 11.8</w:t>
      </w:r>
    </w:p>
    <w:p>
      <w:r>
        <w:t>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du montant maximum du gain assuré serait appliqué (ch. 2 de l'annexe 3).![endif]&gt;![if&gt;</w:t>
      </w:r>
    </w:p>
    <w:p>
      <w:r>
        <w:rPr>
          <w:b/>
        </w:rPr>
        <w:t>E. 11.9</w:t>
      </w:r>
    </w:p>
    <w:p>
      <w:r>
        <w:t>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3).![endif]&gt;![if&gt;</w:t>
      </w:r>
    </w:p>
    <w:p>
      <w:r>
        <w:rPr>
          <w:b/>
        </w:rPr>
        <w:t>E. 11.10</w:t>
      </w:r>
    </w:p>
    <w:p>
      <w:r>
        <w:t>Lors de la fixation de l'indemnité, il sera équitablement tenu compte des aggravations prévisibles de l’atteinte à l’intégrité (art. 36 al. 4 1 ère phrase OLAA). De jurisprudence constante, cette règle ne vise toutefois que les aggravations dont la survenance est vraisemblable et l'importance quantifiable (arrêt du Tribunal fédéral 8C_494/2014 du 11 décembre 2014 consid. 6.2; RAMA 1998 n° U 320 p. 602 consid. 3b). ![endif]&gt;![if&gt;</w:t>
      </w:r>
    </w:p>
    <w:p>
      <w:r>
        <w:rPr>
          <w:b/>
        </w:rPr>
        <w:t>E. 11.10.1</w:t>
      </w:r>
    </w:p>
    <w:p>
      <w:r>
        <w:t>À titre d'exemples, le Tribunal fédéral a nié le caractère prévisible d'une aggravation en fonction de l'indication du médecin selon laquelle « il n'était pas impossible » que l'affection (périarthrite scapulo-humérale) entraînât « d'ici quelques années » une arthrose moyenne (RAMA 1998 p. 602 consid. 3b). Concernant un assuré dont les médecins avaient considéré que « vu les différentes lésions subies un diagnostic est difficile à prévoir et dépendra beaucoup de l'évolution arthrosique des différentes articulations et de leur sollicitation » et que la gonarthrose était « lentement évolutive » si bien qu'il n’était pas possible de dire dans quel délai une intervention chirurgicale pourrait s'avérer nécessaire, le Tribunal fédéral a jugé que, « à supposer que le survenance d’une future aggravation de l'atteinte à la santé puisse être considérée comme une circonstance établie, cette aggravation n’en est pour autant pas quantifiable, si bien qu’elle ne peut être prise en considération » (arrêt du Tribunal fédéral des assurances U. 173/00 du 22 septembre 2000 consid. 2).![endif]&gt;![if&gt; À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 De même, dans le cas où un médecin avait considéré que l'implantation ultérieure d’une prothèse nécessiterait la réévaluation du taux de l'indemnité, le Tribunal fédéral a admis que, même si l'opération n'était pas réalisée dans un avenir immédiat, sa prévisibilité n'en demeurait pas moins acquise (arrêt du Tribunal fédéral 8C_563/2014 du 12 janvier 2015 consid. 5.3.2).</w:t>
      </w:r>
    </w:p>
    <w:p>
      <w:r>
        <w:rPr>
          <w:b/>
        </w:rPr>
        <w:t>E. 11.10.2</w:t>
      </w:r>
    </w:p>
    <w:p>
      <w:r>
        <w:t>Par ailleurs, une révision de l'indemnité n’est possible qu’en cas exceptionnel, si l’aggravation est importante et n’était pas prévisible (art. 36 al. 4 2 ème phrase OLAA; cf. arrêt du Tribunal fédéral 8C_459/2008 du 4 février 2009 consid. 2.1.3; arrêt du Tribunal fédéral des assurances U.124/01 du 22 novembre 2001 consid. 1b). Elle doit être d'au moins 5% de plus que ce qui était pronostiqué (RAMA 1991 p. 306).![endif]&gt;![if&gt;</w:t>
      </w:r>
    </w:p>
    <w:p>
      <w:r>
        <w:rPr>
          <w:b/>
        </w:rPr>
        <w:t>E. 12</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w:t>
      </w:r>
    </w:p>
    <w:p>
      <w:r>
        <w:rPr>
          <w:b/>
        </w:rPr>
        <w:t>E. 12.1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w:t>
      </w:r>
    </w:p>
    <w:p>
      <w:r>
        <w:rPr>
          <w:b/>
        </w:rPr>
        <w:t>E. 12.2</w:t>
      </w:r>
    </w:p>
    <w:p>
      <w:r>
        <w:t>Sans remettre en cause le principe de la libre appréciation des preuves, le Tribunal fédéral des assurances a posé des lignes directrices en ce qui concerne la manière d'apprécier certains types d'expertises ou de rapports médicaux (ATF 125 V 351 consid. 3b).![endif]&gt;![if&gt;</w:t>
      </w:r>
    </w:p>
    <w:p>
      <w:r>
        <w:rPr>
          <w:b/>
        </w:rPr>
        <w:t>E. 12.2.1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3b/bb).![endif]&gt;![if&gt;</w:t>
      </w:r>
    </w:p>
    <w:p>
      <w:r>
        <w:rPr>
          <w:b/>
        </w:rPr>
        <w:t>E. 12.2.2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14</w:t>
      </w:r>
    </w:p>
    <w:p>
      <w:r>
        <w:t>![endif]&gt;![if&gt;</w:t>
      </w:r>
    </w:p>
    <w:p>
      <w:r>
        <w:rPr>
          <w:b/>
        </w:rPr>
        <w:t>E. 14.1</w:t>
      </w:r>
    </w:p>
    <w:p>
      <w:r>
        <w:t>En l'espèce, la décision entreprise repose sur le rapport d'expertise du 19 mai 2022 du Dr D______ et son complément du 20 juin 2022, dont le recourant conteste la valeur probante.![endif]&gt;![if&gt;</w:t>
      </w:r>
    </w:p>
    <w:p>
      <w:r>
        <w:rPr>
          <w:b/>
        </w:rPr>
        <w:t>E. 14.2</w:t>
      </w:r>
    </w:p>
    <w:p>
      <w:r>
        <w:t>Or, ce rapport d'expertise a été établi en pleine connaissance de l'anamnèse et du dossier médical et radiologique. Il comprend les plaintes du recourant et est fondé sur l'examen clinique de celui-ci. Dans la mesure où le recourant ne cite aucune pièce médicale susceptible de mettre en cause les conclusions de l'expert et que les critiques qu'il émet à l'égard de l'expertise sont, comme on le verra ci-après, sans pertinence, celles-ci emportent la conviction. ![endif]&gt;![if&gt;</w:t>
      </w:r>
    </w:p>
    <w:p>
      <w:r>
        <w:rPr>
          <w:b/>
        </w:rPr>
        <w:t>E. 14.2.1</w:t>
      </w:r>
    </w:p>
    <w:p>
      <w:r>
        <w:t>Le recourant allègue que l'expertise est sommaire, que le Dr D______ ne l'a ni mesuré ni pesé, que l'affirmation de l'expert selon laquelle il était difficile pour le recourant de se relever de la position accroupie est inexacte, car le spécialiste l'a vu se relever à l'aide de la table d'examen, de même qu'il est incorrect de mentionner que la fracture subie en 2003 au coude s'est remise favorablement puisque le recourant lui a indiqué que les douleurs subsistaient. ![endif]&gt;![if&gt;</w:t>
      </w:r>
    </w:p>
    <w:p>
      <w:r>
        <w:rPr>
          <w:b/>
        </w:rPr>
        <w:t>E. 14.2.2</w:t>
      </w:r>
    </w:p>
    <w:p>
      <w:r>
        <w:t>Ces éléments ne suffisent pas à jeter le discrédit sur les conclusions de l'expert. ![endif]&gt;![if&gt; En effet, contrairement à ce que fait valoir le recourant, l'expert a mesuré les périmètres musculaires de la cuisse, du genou et du mollet des deux côtés, puis examiné le genou droit et gauche (dossier intimée p. 41). Il a étudié les pièces médicales, en particulier les clichés de l'IRM du genou droit du 15 octobre 2021, ainsi que le résultat de la radiographie de ce genou du 28 mars 2022 (qu'il avait prescrite, p. 43). Aussi son évaluation était-elle basée tant sur l'examen clinique complet du recourant en ce qui concerne l'atteinte au genou droit (seule déterminante in casu) que sur le dossier d'imagerie y relatif. Même si, comme le prétend le recourant, l'expert s'était contenté de retranscrire la taille et le poids communiqués par le recourant, ces deux données en soi ne sont pas pertinentes pour les questions ici litigieuses (stabilisation de l'état de santé, taux de l'IPAI), pas plus que ne le sont les douleurs que le recourant éprouve encore au coude, cette articulation ne faisant pas l'objet du litige. Par ailleurs, on ne voit pas que l'expert ait commis une erreur en qualifiant de « difficile » l'acte de se relever de la position accroupie, que le recourant considère pour sa part « impossible » sans l'aide de la table d'examen, d'autant moins que les conclusions de l'expert se fondent sur l'état du genou droit au vu des résultats d'imagerie y compris radiologique (récent) et sur l'examen clinique lors duquel il a observé à l'instar de l'orthopédiste traitant (rapport du 19 novembre 2021 p. 305-306) une extension complète dudit genou, sans instabilité (p. 41). En outre, le fait que l'expert ait complété son rapport d'expertise le 20 juin 2022 afin de répondre aux questions supplémentaires de l'intimée en lien avec l'ostéotomie de valgisation et la prothèse totale du genou ne permet pas de conclure que son appréciation est dénuée de force probante.</w:t>
      </w:r>
    </w:p>
    <w:p>
      <w:r>
        <w:rPr>
          <w:b/>
        </w:rPr>
        <w:t>E. 14.3</w:t>
      </w:r>
    </w:p>
    <w:p>
      <w:r>
        <w:t>En ce qui concerne la stabilisation de l'état du genou droit au 6 décembre 2021, que le recourant conteste, quand bien même il souffre de douleurs persistantes, force est de constater qu'il travaille à plein temps dans son activité habituelle (sans que les douleurs ne l'empêchent de l'exercer; dossier intimée p. 306). Même si l'orthopédiste traitant a évoqué la possibilité d'une ostéotomie de valgisation (p. 306), le Dr D______, quant à lui, au vu du bilan radiologique, ne juge pas nécessaire cette opération à l'heure actuelle (p. 45-46). Quoi qu'il en soit, le recourant ne souhaite pas non plus la subir (p. 45). Dans ces conditions, il n'y a effectivement plus lieu d'attendre de la continuation du traitement médical une amélioration sensible de l'état de santé du recourant, lequel peut être considéré comme stabilisé malgré la prise de médicaments (arrêt du Tribunal fédéral 8C_306/2016 du 22 septembre 2016 consid. 5.3) Dafalgan (p. 40), paracétamol, anti-inflammatoire non stéroïdien, étant précisé que l'expert ne recommande pas le Chondrosulf (que le recourant a du reste arrêté [p. 40]), dont son efficacité d'après l'expert n'est pas prouvée au long cours (p. 46). ![endif]&gt;![if&gt; Par conséquent, l'intimée était fondée à refuser de prendre en charge le traitement médical au-delà du 6 décembre 2021. Le fait qu'elle ait d'ores et déjà reconnu de manière anticipée la prise en charge de l'ostéotomie de valgisation du genou (dont le lien de causalité avec l'accident en cause a été admis par l'expert, p. 28) ne modifie pas cette appréciation, tant et aussi longtemps que la réalisation de cette intervention chirurgicale n'est pas annoncée dans le cadre d'une rechute. La question de savoir si la mise en place d'une prothèse totale du genou droit est en lien de causalité avec l'accident du 17 juin 2006 (que l'intimée conteste pour l'instant) peut demeurer indécise, puisque, au vu de l'état du genou droit à la date déterminante de la décision querellée (ATF 144 V 210 consid. 4.3.1), cette opération n'est de toute façon pas encore indiquée (dossier intimée p. 29; acte de recours p. 3). En outre, le recourant ne peut pas à ce stade prétendre à la prise en charge « anticipée » des frais découlant de la pose d'une prothèse totale du genou, car un tel droit n'existe pas en vertu de la loi. Ces questions pourront être examinées lors de l'annonce ultérieure d'une rechute. Autre est la question de savoir si l'aggravation future de l'état du genou droit (même en relation de causalité avec l'accident assuré) est prévisible, car encore faut-il qu'elle soit quantifiable (ce qui n'est pas le cas en l'espèce, comme on le verra plus loin) afin qu'elle soit prise en compte dans la fixation actuelle du taux de l'IPAI.</w:t>
      </w:r>
    </w:p>
    <w:p>
      <w:r>
        <w:rPr>
          <w:b/>
        </w:rPr>
        <w:t>E. 14.4</w:t>
      </w:r>
    </w:p>
    <w:p>
      <w:r>
        <w:t>La conclusion du recourant tendant au paiement des indemnités journalières en rapport avec l'accident du 17 juin 2006, sans limite de temps, est également dénuée de tout fondement, dès lors qu'il n'a pas présenté d'incapacité de travail dans le cadre de la rechute annoncée le 23 juillet 2021. ![endif]&gt;![if&gt;</w:t>
      </w:r>
    </w:p>
    <w:p>
      <w:r>
        <w:rPr>
          <w:b/>
        </w:rPr>
        <w:t>E. 14.5</w:t>
      </w:r>
    </w:p>
    <w:p>
      <w:r>
        <w:t>En ce qui concerne le taux de l'IPAI, le Dr D______ a retenu l'existence d'une arthrose fémoro-tibiale moyenne du genou droit donnant droit à une IPAI de 5 à 15% selon la table 5 « Taux d'atteinte à l'intégrité résultant d'arthroses » publiée par les médecins de la SUVA, et expliqué que, en l'absence d'une indication opératoire à ce jour et au vu des constatations clinique et radiologique, il se justifiait d'appliquer un taux intermédiaire de 7,5% (dossier intimée p. 47 et 28). Ce faisant, l'expert s'est déterminé sur le taux de l'IPAI sur la base de constatations médicales. Comme on l'a relevé plus haut, aucune pièce au dossier ne fournit d'éléments objectifs contraires qui permettraient de remettre en cause cette appréciation que la chambre de céans considère comme probante pour les motifs exposés supra (consid. 14.2.1-14.2.2). Du reste, le recourant ne peut pas prétendre à un taux de 15%, soit le taux le plus élevé pour une arthrose moyenne touchant l'articulation fémoro-tibiale, conformément à la règle selon laquelle on retient le taux d'atteinte à l'intégrité le plus élevé lorsque l'articulation considérée présente une instabilité en plus de l'arthrose (cf. la table 5 précitée), dès lors que, comme on l'a dit plus haut (consid. 14.2.2), il n'existe pas une instabilité de l'articulation. ![endif]&gt;![if&gt; Par ailleurs, contrairement à ce que prétend le recourant, l'expert ne s'est pas borné à tenir compte de l'exercice de la profession assise pour évaluer le taux de l'IPAI lorsqu'il a indiqué « [o]n ne peut pas à ce jour être certain de l'évolution de ces lésions, d'autant que l'activité professionnelle est réalisée surtout en position assise » (dossier intimée p. 46). Il s'agit simplement d'un argument lui permettant de conclure que l'aggravation de l'état du genou droit n'est pas prévisible (voir également p. 47 [rapport d'expertise] et p. 28 [complément d'expertise]). De toute manière, même si le recourant souffre actuellement d'une arthrose fémoro-tibiale moyenne du genou droit, le Tribunal fédéral n'a pas considéré de manière générale que l'évolution d'une arthrose serait toujours défavorable, de sorte qu'en présence d'une telle atteinte, il conviendrait d'emblée d'admettre la condition du caractère prévisible d'une aggravation future (arrêt 8C_238/2020 du 7 octobre 2020 consid. 4.3). En tout état de cause, même en admettant la vraisemblance d'une future aggravation de l'arthrose, et bien que l'orthopédiste traitant ait évoqué une prothèse totale du genou (qui serait précédée d'une ostéotomie de valgisation, intervention que ne souhaite pas le recourant), aucune pièce médicale ne fait état du délai dans lequel une arthroplastie du genou droit avec implantation d'une prothèse pourrait s'avérer nécessaire. L'expert n'a pas non plus été en mesure de quantifier l'évolution et la gravité de l'arthrose (dossier intimée p. 47 et 28). Par conséquent, la future IPAI n'est pas quantifiable à ce stade, de sorte qu'elle ne saurait être fixée dès à présent (dans ce sens : arrêt du Tribunal fédéral des assurances U.173/00 du 22 septembre 2000 consid. 2). Vu ce qui précède, il n'est pas nécessaire, comme le voudrait le recourant, de mettre en œuvre une nouvelle expertise, voire une nouvelle IRM (en vue de mettre en évidence la péjoration de son état), car le juge apprécie la légalité de la décision litigieuse d'après l'état de fait existant au moment où cette décision a été rendue (ATF 144 V 210 consid. 4.3.1). Les faits survenus postérieurement (soit cas échéant l'aggravation de l'état du genou droit) doivent faire l'objet d'une nouvelle décision administrative. Ainsi, si le recourant entend établir l'existence d'une aggravation importante de l'état de son genou droit, il lui sera loisible de requérir auprès de l'intimée la révision exceptionnelle du taux de l'indemnité pour atteinte à l'intégrité fondée sur l'art. 36 al. 4 OLAA (dans ce sens : arrêts du Tribunal fédéral 8C_420/2021 du 6 octobre 2021 consid. 5; 8C_238/2020 du 7 octobre 2020 consid. 4.3). Enfin, dans la mesure où le gain annuel assuré à l'époque de l'accident s'élevait à CHF 106'800.- par an (art. 22 al. 1 aOLAA), le montant de l'IPAI fixé à CHF 8'010.- (106'800 × 7,5%) par l'intimée ne prête pas le flanc à la critique.</w:t>
      </w:r>
    </w:p>
    <w:p>
      <w:r>
        <w:rPr>
          <w:b/>
        </w:rPr>
        <w:t>E. 15</w:t>
      </w:r>
    </w:p>
    <w:p>
      <w:r>
        <w:t>Au vu de ce qui précède, le recours est rejeté. ![endif]&gt;![if&gt;</w:t>
      </w:r>
    </w:p>
    <w:p>
      <w:r>
        <w:rPr>
          <w:b/>
        </w:rPr>
        <w:t>E. 16</w:t>
      </w:r>
    </w:p>
    <w:p>
      <w:r>
        <w:t>Le recourant (non représenté), qui succombe, n'a pas droit à des dépens (art. 61 let. g LPGA a contrario). ![endif]&gt;![if&gt;</w:t>
      </w:r>
    </w:p>
    <w:p>
      <w:r>
        <w:rPr>
          <w:b/>
        </w:rPr>
        <w:t>E. 16.1</w:t>
      </w:r>
    </w:p>
    <w:p>
      <w:r>
        <w:t>L'intimée, qui obtient gain de cause, conclut à l’octroi de dépens. ![endif]&gt;![if&gt;</w:t>
      </w:r>
    </w:p>
    <w:p>
      <w:r>
        <w:rPr>
          <w:b/>
        </w:rPr>
        <w:t>E. 16.2</w:t>
      </w:r>
    </w:p>
    <w:p>
      <w:r>
        <w:t>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(ATF 126 V 143 consid. 4). Cette jurisprudence, fondée sur le principe de la gratuité de la procédure de première instance en droit fédéral des assurances sociales, l’emporte sur d’éventuelles dispositions contraires du droit de procédure cantonal ( ATAS/956/2016 du 22 novembre 2016 consid. 27a; cf. également arrêt du Tribunal fédéral des assurances U.98/00 du 19 octobre 2000 consid. 3).![endif]&gt;![if&gt;</w:t>
      </w:r>
    </w:p>
    <w:p>
      <w:r>
        <w:rPr>
          <w:b/>
        </w:rPr>
        <w:t>E. 16.3</w:t>
      </w:r>
    </w:p>
    <w:p>
      <w:r>
        <w:t>En l’espèce, le recours – quoique mal fondé – n’est ni téméraire ni ne témoigne de légèreté. La cause ne saurait être considérée comme complexe. Aussi l’intimée n’a-t-elle pas droit à l’octroi d’une indemnité de procédure.![endif]&gt;![if&gt;</w:t>
      </w:r>
    </w:p>
    <w:p>
      <w:r>
        <w:rPr>
          <w:b/>
        </w:rPr>
        <w:t>E. 17</w:t>
      </w:r>
    </w:p>
    <w:p>
      <w:r>
        <w:t>Pour le surplus, la procédure est gratuite (art. 61 let. f bis LPGA a contrario).![endif]&gt;![if&gt;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