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A/287/2021 vom 19. Mai 2022</w:t>
      </w:r>
    </w:p>
    <w:p>
      <w:r>
        <w:t>GE Cour de justice, 2022-05-19, FR</w:t>
      </w:r>
    </w:p>
    <w:p>
      <w:r>
        <w:rPr>
          <w:b/>
        </w:rPr>
        <w:t xml:space="preserve">Quelle: </w:t>
      </w:r>
      <w:r>
        <w:t>https://mcp.opencaselaw.ch/entscheid/ge_gerichte_A_287_2021</w:t>
      </w:r>
    </w:p>
    <w:p>
      <w:r>
        <w:t>FR: GE_GERICHTE A/287/2021 du 19 mai 2022</w:t>
      </w:r>
    </w:p>
    <w:p>
      <w:r>
        <w:t>IT: GE_GERICHTE A/287/2021 del 19 maggio 2022</w:t>
      </w:r>
    </w:p>
    <w:p>
      <w:pPr>
        <w:pStyle w:val="Heading2"/>
      </w:pPr>
      <w:r>
        <w:t>Erwägungen</w:t>
      </w:r>
    </w:p>
    <w:p>
      <w:r>
        <w:rPr>
          <w:b/>
        </w:rPr>
        <w:t>E. 3</w:t>
      </w:r>
    </w:p>
    <w:p>
      <w:r>
        <w:t>Déposé dans les forme et délai prévus par la loi (art. 56ss LPGA), le recours est recevable.![endif]&gt;![if&gt;</w:t>
      </w:r>
    </w:p>
    <w:p>
      <w:r>
        <w:rPr>
          <w:b/>
        </w:rPr>
        <w:t>E. 4</w:t>
      </w:r>
    </w:p>
    <w:p>
      <w:r>
        <w:t>Le litige, tel que circonscrit par les conclusions du recours, porte sur le droit du recourant à une rente d’invalidité au-delà des périodes pour lesquelles l’intimé lui a reconnu le droit à une telle rente. ![endif]&gt;![if&gt;</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w:t>
      </w:r>
    </w:p>
    <w:p>
      <w:r>
        <w:rPr>
          <w:b/>
        </w:rPr>
        <w:t>E. 6</w:t>
      </w:r>
    </w:p>
    <w:p>
      <w:r>
        <w:t>![endif]&gt;![if&gt;</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3.3).![endif]&gt;![if&gt;</w:t>
      </w:r>
    </w:p>
    <w:p>
      <w:r>
        <w:rPr>
          <w:b/>
        </w:rPr>
        <w:t>E. 6.3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![endif]&gt;![if&gt;</w:t>
      </w:r>
    </w:p>
    <w:p>
      <w:r>
        <w:rPr>
          <w:b/>
        </w:rPr>
        <w:t>E. 7</w:t>
      </w:r>
    </w:p>
    <w:p>
      <w:r>
        <w:t>![endif]&gt;![if&gt;</w:t>
      </w:r>
    </w:p>
    <w:p>
      <w:r>
        <w:rPr>
          <w:b/>
        </w:rPr>
        <w:t>E. 7.1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3d).![endif]&gt;![if&gt;</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 7.5.1 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7.5.2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En l’espèce, il convient en premier lieu de se prononcer sur la valeur probante du rapport des Drs G______ et H______, lequel fonde la capacité de travail retenue par l’intimé pour déterminer le degré d’invalidité du recourant.![endif]&gt;![if&gt;</w:t>
      </w:r>
    </w:p>
    <w:p>
      <w:r>
        <w:rPr>
          <w:b/>
        </w:rPr>
        <w:t>E. 8.1</w:t>
      </w:r>
    </w:p>
    <w:p>
      <w:r>
        <w:t>En préambule, s’agissant du grief du recourant ayant trait au fait que le Dr G______ est rhumatologue et non spécialiste en chirurgie orthopédique, on soulignera que les interventions subies ont été pratiquées non par des orthopédistes, mais par des neurochirurgiens. Quoi qu’il en soit, un rhumatologue est spécialisé dans les troubles de l’appareil locomoteur et ainsi parfaitement à même d’apprécier l’incidence de troubles lombaires de manière globale ; il dispose donc des compétences nécessaires pour se déterminer sur la capacité de travail du recourant, dont l’argument tombe à faux. ![endif]&gt;![if&gt;</w:t>
      </w:r>
    </w:p>
    <w:p>
      <w:r>
        <w:rPr>
          <w:b/>
        </w:rPr>
        <w:t>E. 8.2</w:t>
      </w:r>
    </w:p>
    <w:p>
      <w:r>
        <w:t>A la forme, le rapport des Drs G______ et H______ répond aux exigences jurisprudentielles en matière de valeur probante de rapports médicaux. Ces médecins ont en effet pris connaissance du dossier du recourant, étudié les documents radiologiques à disposition, recueilli son anamnèse et ses plaintes. Ils ont en outre procédé à des examens cliniques détaillés avant d’établir leurs diagnostics et leurs conclusions.![endif]&gt;![if&gt;</w:t>
      </w:r>
    </w:p>
    <w:p>
      <w:r>
        <w:rPr>
          <w:b/>
        </w:rPr>
        <w:t>E. 8.3</w:t>
      </w:r>
    </w:p>
    <w:p>
      <w:r>
        <w:t>Les experts ont noté que le recourant se plaignait d’une douleur lombaire basse à droite quotidienne, avec irradiation intermittente du membre intérieur droit, dans la fesse, à la face antérieure de la hanche et la face postérieure de la cuisse, d’une douleur au niveau du talon et de la face externe du pied droit. Il ne tolérait pas l’attitude en porte-à-faux, les douleurs augmentaient en flexion et il devait rester droit lorsqu'il était assis. Il supportait la station assise et la conduite pendant 45 à 60 minutes. Il avait une diminution de la sensibilité au niveau de la jambe droite et sur le dessus du pied droit ainsi qu'au niveau du gros orteil droit et peinait à relever la cheville à droite. Il signalait également des difficultés d’endormissement, des nuits entrecoupées et un sommeil léger. Il pratiquait des exercices de marche deux fois par semaine, en alternance avec la course, trois fois par semaine, et faisait des exercices abdominaux. ![endif]&gt;![if&gt; 8.4.1 Au plan psychiatrique, le Dr H______ a indiqué dans l’anamnèse que le recourant avait craqué en 2012 en raison d’un conflit au sujet de la garde de son fils. Il avait rechuté en 2014, puis en mars 2015, dans un contexte de difficultés professionnelles. Il avait alors consulté le docteur J______, spécialiste FMH en psychiatrie, jusqu'à fin 2015, date à laquelle l’assuré s’était estimé guéri de son épisode dépressif. Il n’avait désormais pas de plaintes au plan psychiatrique, hormis des problèmes de libido qu’il imputait à la médication. Les éléments recueillis dans le contexte psychosocial et la vie quotidienne démontraient que les ressources du recourant étaient globalement conservées. L'examen révélait que les trois critères majeurs de la dépression étaient absents : l’humeur était normale, il n’y avait de diminution ni de l’intérêt, ni du plaisir. Il existait une réduction de l'énergie fluctuante selon les jours, survenant en fin de journée. Le recourant disait avoir toujours manqué un peu de confiance en lui. Il n’existait pas de diminution de la concentration et de l'attention, pas d'attitude morose et pessimiste face à l'avenir – le recourant attendait beaucoup de l'obtention de son diplôme d'assistant en gestion des ressources humaines –, pas d'idéation suicidaire, pas de perturbation du sommeil d'origine dépressive, ni de diminution franche de l'appétit. Seul un symptôme somatique de la dépression était présent, soit la diminution marquée de la libido. Il n'y avait ainsi pas d’épisode dépressif en cours. Le Dr H______ retenait le diagnostic de trouble dépressif récurrent en raison de la répétition des épisodes présentés depuis 2012, en précisant que ce trouble était désormais en rémission et non incapacitant. Du point de vue psychique, l'incapacité de travail totale avait été attestée dès le 22 avril 2015. Le recourant avait cessé le suivi auprès du Dr J______ à la fin de l'année 2015, et estimait aller beaucoup mieux avant cette date. Dans ces conditions, on devait considérer qu’une pleine capacité de travail avait été recouvrée sur le plan psychique dès janvier 2016. En l'absence de diagnostic incapacitant, les questions du traitement lege artis , de la coopération de l’assuré et des options thérapeutiques disponibles n’étaient pas pertinentes. 8.4.2 Les conclusions du Dr H______ sont convaincantes et motivées. Contrairement à ce que soutient le recourant, il a bien tenu compte des problèmes d’endormissement et de libido rapportés et a exposé la portée de ces éléments dans les diagnostics retenus. Il n’existe du reste aucun rapport médical de nature à mettre en doute la pleine capacité de travail admise au plan psychique. On relèvera notamment que, dans son rapport du 3 juillet 2019, le Dr J______ a qualifié la situation de très stable la dernière année et noté que les douleurs physiques étaient au premier plan, sans signe probant de trouble somatoforme douloureux. Les médecins du centre multidisciplinaire de la douleur consultés en mai 2017 ont eux aussi indiqué dans leur rapport du 28 juin suivant que le burn out et l’état dépressif apparus en 2015 étaient en amélioration et que les tests ne révélaient pas de symptomatologie anxio-dépressive. 8.5.1 S’agissant du volet somatique, le Dr G______ a noté que les douleurs décrites étaient mécaniques, sans plus de signes de radiculalgie L5 gauche active ni douleurs neurogènes la nuit. L'examen neurologique des membres supérieurs ne montrait pas de séquelles d'une ancienne atteinte du nerf médian ou du nerf ulnaire à gauche. Aux membres inférieurs, l'examen neurologique révélait une trophicité musculaire normale, avec une diminution du réflexe achilléen droit pour une ancienne compression de la racine S1. Il n’y avait pas de troubles moteurs au testing musculaire. mais des troubles sensitifs diffus touchant les deux racines L5 et la racine S1 droite. Ces troubles sensitifs étaient difficiles d'interprétation, au vu des quatre interventions du rachis. Au plan articulaire, le recourant éprouvait des douleurs à la mobilisation de la hanche droite, sans élément orientant vers une coxarthrose, et il avait par ailleurs une mobilité complète. Au niveau du rachis, le Dr G______ constatait une légère scoliose dorsale à convexité droite avec une gibbosité d’un cm, persistant en flexion du tronc, une diminution de sa lordose lombaire, et un début de relâchement de la sangle abdominale. Le recourant ne ressentait pas de douleurs en flexion ou en extension. La palpation était douloureuse au niveau de L5, sans contracture. Le rhumatologue concluait à une raideur au niveau lombaire, sans syndrome rachidien lombaire en l’absence de contractures paravertébrales et au vu de la gestuelle spontanée normale. Le score de Waddell à la recherche de signes comportementaux était négatif. L'examen montrait des séquelles d'une maladie de Scheuermann avec des nodules de Schmorl étagés, sans troubles dégénératifs secondaires. Sur le plan rhumatologique, l’incapacité de travail était totale dans toute activité lors de la décompensation des problèmes lombaires avec apparition d'une radiculalgie L5 gauche et S1 droite, en avril 2015. En s'appuyant sur les éléments anamnestiques, sur les consultations et sur les éléments cliniques objectivables lors de son examen, le Dr G______ a retenu une amélioration de l'état de santé du recourant dans les suites de la deuxième opération. La sciatalgie S1 droite avait régressé. Elle était désormais intermittente et il n'y avait pas de douleur neurogène. Les lombalgies persistaient, ce qui était fréquent après les interventions de cure de hernie discale, dont le but était principalement de décomprimer les structures neurologiques. Le recourant gardait une raideur lombaire et des douleurs lombaires d'allure mécanique. Il n’avait pas d'attitude antalgique. Le descriptif de la vie quotidienne montrait qu’il conservait des ressources physiques pour les tâches physiquement légères. Il était capable de faire des exercices alternant la marche et la course et de conduire une heure. Selon les informations transmises par le recourant, son ancienne activité d’employé administratif respectait les limitations fonctionnelles d'épargne du rachis retenues. S’agissant de la date d'exigibilité d’une activité adaptée, le Dr G______ s’est référé à la consultation du Dr C______ du 8 décembre 2016, mentionnant une exigibilité de 4 h./jour, pour admettre une incapacité de travail de 50% à compter de cette date, tout en notant que le Dr C______ rapportait alors une boiterie à droite et une parésie des extenseurs du pied droit (l'effet du traitement interdisciplinaire était à attendre), alors qu’au jour de l’examen du SMR, l’état de santé du recourant était nettement amélioré par rapport à celui décrit par le Dr C______. L’amélioration pouvait être datée de la fin du programme de rééducation du Dr D______, le 19 mars 2018, au vu des bénéfices que le recourant en avait tirés. En conséquence de quoi, le Dr G______ a retenu une capacité de travail de 75% (2 fois 3 heures par jour) dans une activité adaptée. Le pronostic était moyen sur le plan rhumatologique, au vu du risque de décompensation des étages lombaires au-dessus de la spondylodèse. Le rhumatologue du SMR a encore expliqué que s’il ne pouvait se rallier au taux de capacité de travail de 50% dans une activité adaptée attesté par le Dr F______, c’est que celui-ci ne motivait pas sa position. 8.5.2 Ce volet du rapport du SMR est également motivé de manière convaincante. Le recourant ne peut être suivi en tant qu’il reproche au Dr G______ de ne pas avoir discuté la pseudarthrose dont il souffre. Le médecin l’a évoquée et en a tenu compte, tant dans l’appréciation de la capacité de travail que dans le pronostic. La date retenue pour admettre l’exigibilité d’une activité à 50% correspond à l’estimation du Dr C______ et ne prête ainsi pas flanc à la critique. Quant à l’augmentation de la capacité de travail à 75% dès mars 2018, l’expert l’a également motivée. En particulier, contrairement à ce qu’allègue le recourant, la date de la fin du programme de rééducation et les bénéfices amenés ont bien été décrits par le Dr D______ dans son rapport d’octobre 2018. Il n’existe de plus aucun rapport médical probant justifiant que l’on s’écarte des conclusions du rhumatologue du SMR. Le Dr D______ justifiait en effet l’arrêt de travail à 50% partiellement par la nécessité pour le recourant de participer au programme de rééducation intensive. Or, ce traitement a pris fin et a du reste précisément marqué l’augmentation de la capacité de travail déterminée par le Dr G______. Le certificat du Dr F______ n’y suffit pas non plus, puisque ce médecin indique s’être basé sur les plaintes de son patient pour établir les arrêts de travail à 50%, sans mentionner d’éléments objectifs. On soulignera d’ailleurs que les douleurs motivant en partie les arrêts de travail du Dr F______ ne sont pas entièrement expliquées par les troubles lombaires objectivés, comme le signalait le Dr E______, et comme semblait également le suggérer le Dr D______. Enfin, il n’est pas inutile de rappeler que le Dr C______ n’excluait pas la possibilité pour le recourant de travailler à temps plein en juin 2017 déjà.</w:t>
      </w:r>
    </w:p>
    <w:p>
      <w:r>
        <w:rPr>
          <w:b/>
        </w:rPr>
        <w:t>E. 8.6</w:t>
      </w:r>
    </w:p>
    <w:p>
      <w:r>
        <w:t>Compte tenu de ce qui précède, la Cour de céans n’a pas de motifs de s’écarter des conclusions des Drs G______ et H______. Partant, elle renonce aux mesures d’instruction requises, par appréciation anticipée des preuves (ATF 130 II 425 consid. 2.1).![endif]&gt;![if&gt;</w:t>
      </w:r>
    </w:p>
    <w:p>
      <w:r>
        <w:rPr>
          <w:b/>
        </w:rPr>
        <w:t>E. 9</w:t>
      </w:r>
    </w:p>
    <w:p>
      <w:r>
        <w:t>Il reste à déterminer le degré d’invalidité du recourant. ![endif]&gt;![if&gt;</w:t>
      </w:r>
    </w:p>
    <w:p>
      <w:r>
        <w:rPr>
          <w:b/>
        </w:rPr>
        <w:t>E. 9.1</w:t>
      </w:r>
    </w:p>
    <w:p>
      <w:r>
        <w:t>L’intimé a considéré que l’incapacité de travail du recourant se confondait avec le degré d’invalidité. Les limitations fonctionnelles retenues par le Dr G______ – qui sont du reste plus larges que celles décrites par le Dr F______ – laissent effectivement apparaître que la profession d’employé administratif exercée avant la survenance de l’atteinte à la santé est adaptée. Le recourant a d’ailleurs continué à travailler en cette qualité lors des stages suivis dans le cadre des mesures de reclassement. ![endif]&gt;![if&gt;</w:t>
      </w:r>
    </w:p>
    <w:p>
      <w:r>
        <w:rPr>
          <w:b/>
        </w:rPr>
        <w:t>E. 9.2</w:t>
      </w:r>
    </w:p>
    <w:p>
      <w:r>
        <w:t>En principe, il n'est pas admissible de déterminer le degré d'invalidité sur la base de la simple évaluation médico-théorique de la capacité de travail de la personne assurée, car cela revient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comme en l’espèce. Même s'il n'est pas indispensable de déterminer avec précision les salaires de référence, il n'en demeure pas moins que, dans cette situation, l'évaluation de l'invalidité repose sur des données statistiques. Par conséquent, une réduction supplémentaire du revenu d'invalide est possible en fonction des circonstances personnelles et professionnelles du cas particulier. L’abattement ne doit alors pas être additionné au taux d’incapacité de travail, mais être appliqué au revenu d’invalide (arrêt du Tribunal fédéral 9C_842/2018 du 7 mars 2019 consid. 5.1 et 5.2).![endif]&gt;![if&gt;</w:t>
      </w:r>
    </w:p>
    <w:p>
      <w:r>
        <w:rPr>
          <w:b/>
        </w:rPr>
        <w:t>E. 9.3</w:t>
      </w:r>
    </w:p>
    <w:p>
      <w:r>
        <w:t>Dans le cas d’espèce, on pourrait au plus admettre un abattement de 15%, en raison du taux d’activité à temps partiel et des limitations fonctionnelles du recourant. Or, un tel abattement porterait le degré d’invalidité à 57.5% - en tenant compte d’une capacité de travail dans l’activité habituelle de 50 % - et à 36.25% -en tenant compte d’une capacité de travail dans l’activité habituelle de 75%. ![endif]&gt;![if&gt; La Cour de céans constate qu’un tel abattement ne modifierait en toute hypothèse pas le degré d’invalidité retenu par l’intimé dans une mesure influant sur le droit à la rente, conformément à l’art. 28 LAI.</w:t>
      </w:r>
    </w:p>
    <w:p>
      <w:r>
        <w:rPr>
          <w:b/>
        </w:rPr>
        <w:t>E. 9.4</w:t>
      </w:r>
    </w:p>
    <w:p>
      <w:r>
        <w:t>Le droit à la rente prend naissance au plus tôt six mois après le dépôt de la demande (art. 29 al. 1 LAI).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du règlement sur l’assurance-invalidité (RAI – RS 831.201). Suivant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(arrêt du Tribunal fédéral 9C_134/2015 du 3 septembre 2015 consid. 4.1).![endif]&gt;![if&gt; La décision de l’intimé est conforme aux dispositions précitées, dans la mesure où elle a fixé le début du droit à la rente au 1 er décembre 2016, soit six mois après la demande intervenue le 14 juin 2016. La modification puis la suppression du droit à la rente ont également été fixées trois mois après les améliorations qui les justifient. Enfin, c’est à juste titre que l’intimé a réservé le droit à la rente durant les périodes pendant lesquelles des indemnités journalières ont été versées. En effet, l’art. 29 al. 2 LAI prévoit que le droit ne prend pas naissance tant que l’assuré peut faire valoir son droit à une indemnité journalière au sens de l’art. 22.</w:t>
      </w:r>
    </w:p>
    <w:p>
      <w:r>
        <w:rPr>
          <w:b/>
        </w:rPr>
        <w:t>E. 9.5</w:t>
      </w:r>
    </w:p>
    <w:p>
      <w:r>
        <w:t>Eu égard aux éléments qui précèdent, la décision de l’intimé doit être confirmée.![endif]&gt;![if&gt;</w:t>
      </w:r>
    </w:p>
    <w:p>
      <w:r>
        <w:rPr>
          <w:b/>
        </w:rPr>
        <w:t>E. 10</w:t>
      </w:r>
    </w:p>
    <w:p>
      <w:r>
        <w:t>Le recours est rejeté.![endif]&gt;![if&gt; Le recourant, qui succombe, n’a pas droit à des dépens (art. 61 let. g LPGA). La procédure en matière de contestations portant sur des prestations d’assurance-invalidité n’étant pas gratuite (art. 69 al. 1 bis LAI), il supporte l’émolument, fixé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