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A/2876/2021 vom 30. Juni 2022</w:t>
      </w:r>
    </w:p>
    <w:p>
      <w:r>
        <w:t>GE Cour de justice, 2022-06-30, FR</w:t>
      </w:r>
    </w:p>
    <w:p>
      <w:r>
        <w:rPr>
          <w:b/>
        </w:rPr>
        <w:t xml:space="preserve">Quelle: </w:t>
      </w:r>
      <w:r>
        <w:t>https://mcp.opencaselaw.ch/entscheid/ge_gerichte_A_2876_2021</w:t>
      </w:r>
    </w:p>
    <w:p>
      <w:r>
        <w:t>FR: GE_GERICHTE A/2876/2021 du 30 juin 2022</w:t>
      </w:r>
    </w:p>
    <w:p>
      <w:r>
        <w:t>IT: GE_GERICHTE A/2876/2021 del 30 giugno 2022</w:t>
      </w:r>
    </w:p>
    <w:p>
      <w:pPr>
        <w:pStyle w:val="Heading2"/>
      </w:pPr>
      <w:r>
        <w:t>Erwägungen</w:t>
      </w:r>
    </w:p>
    <w:p>
      <w:r>
        <w:rPr>
          <w:b/>
        </w:rPr>
        <w:t>E. 3</w:t>
      </w:r>
    </w:p>
    <w:p>
      <w:r>
        <w:t>Déposé dans les forme et délai prévus par la loi (art. 56ss LPGA), le recours est recevable.![endif]&gt;![if&gt;</w:t>
      </w:r>
    </w:p>
    <w:p>
      <w:r>
        <w:rPr>
          <w:b/>
        </w:rPr>
        <w:t>E. 4</w:t>
      </w:r>
    </w:p>
    <w:p>
      <w:r>
        <w:t>Le litige, tel que circonscrit par les conclusions du recours, porte sur le droit de la recourante à une rente d’invalidité.![endif]&gt;![if&gt;</w:t>
      </w:r>
    </w:p>
    <w:p>
      <w:r>
        <w:rPr>
          <w:b/>
        </w:rPr>
        <w:t>E. 5</w:t>
      </w:r>
    </w:p>
    <w:p>
      <w:r>
        <w:t>En vertu de l’art. 28 LAI dans sa teneur en vigueur jusqu’au 31 décembre 2021,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(al. 1). L’assuré a droit à une rente entière s’il est invalide à 70% au moins, à trois quarts de rente s’il est invalide à 60% au moins, à une demi-rente s’il est invalide à 50% au moins ou à un quart de rente s’il est invalide à 40% au moins (al. 2).![endif]&gt;![if&gt;</w:t>
      </w:r>
    </w:p>
    <w:p>
      <w:r>
        <w:rPr>
          <w:b/>
        </w:rPr>
        <w:t>E. 6</w:t>
      </w:r>
    </w:p>
    <w:p>
      <w:r>
        <w:t>La loi prévoit différentes méthodes pour évaluer l'invalidité d'un assuré en fonction du statut de ce dernier.![endif]&gt;![if&gt;</w:t>
      </w:r>
    </w:p>
    <w:p>
      <w:r>
        <w:rPr>
          <w:b/>
        </w:rPr>
        <w:t>E. 6.1</w:t>
      </w:r>
    </w:p>
    <w:p>
      <w:r>
        <w:t>Chez les assurés qui exerçaient une activité lucrative à plein temps avant d'être atteints dans leur santé physique, mentale ou psychique, il s’agit d’appliquer la méthode générale de comparaison des revenus (art. 28a al. 1 LAI en corrélation avec l'art. 16 LPGA) et ses sous-variantes, la méthode de comparaison en pour-cent (ATF 114 V 310 consid. 3a) et la méthode extraordinaire de comparaison des revenus (ATF 128 V 29 consid. 4).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Pour déterminer le revenu d'invalide de l'assuré, il y a lieu en l'absence d'un revenu effectivement réalisé de se référer aux données salariales, telles qu'elles résultent des enquêtes sur la structure des salaires publiées par l'Office fédéral de la statistique (ATF 126 V 75 consid. 3b).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consid. 5b). 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(arrêt du Tribunal fédéral 9C_260/2013 du 9 août 2013 consid. 4.2). Il n'est toutefois pas nécessaire de chiffrer précisément les revenus avec et sans invalidité lorsque le taux d'invalidité se confond avec le taux d'incapacité de travail (arrêt du Tribunal fédéral 9C_692/2017 du 12 mars 2018 consid. 5). Tel est notamment le cas lorsque les revenus avec et sans invalidité sont basés sur les mêmes données statistiques, par exemple lorsque l’assuré conserve une capacité de travail résiduelle dans son activité habituelle, comme en l’espèce (arrêt du Tribunal fédéral 9C_842/2018 du 7 mars 2019 consid. 5.1 et 5.2).![endif]&gt;![if&gt;</w:t>
      </w:r>
    </w:p>
    <w:p>
      <w:r>
        <w:rPr>
          <w:b/>
        </w:rPr>
        <w:t>E. 6.2</w:t>
      </w:r>
    </w:p>
    <w:p>
      <w:r>
        <w:t>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L’art. 27 du règlement sur l'assurance-invalidité (RAI - RS 831.201) dispose que par travaux habituels, il faut notamment entendre l'activité usuelle dans le ménage, ainsi que les soins et l’assistance apportés aux proches. S’agissant du degré d’invalidité dans la sphère ménagère, une enquête ménagère effectuée au domicile de la personne constitue en règle générale une base appropriée et suffisante pour évaluer les empêchements dans l'accomplissement des travaux habituels (ATF 128 V 93 consid. 4). Même si, compte tenu de sa nature, l'enquête économique sur le ménage est en premier lieu un moyen approprié pour évaluer l'étendue d'empêchements dus à des limitations physiques, elle garde cependant valeur probante lorsqu'il s'agit d'estimer les empêchements que l'intéressée rencontre dans ses activités habituelles en raison de troubles d'ordre psychique. Toutefois,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(arrêt du Tribunal fédéral 9C_925/2013 du 1 er avril 2014 consid. 2.2). ![endif]&gt;![if&gt;</w:t>
      </w:r>
    </w:p>
    <w:p>
      <w:r>
        <w:rPr>
          <w:b/>
        </w:rPr>
        <w:t>E. 6.3</w:t>
      </w:r>
    </w:p>
    <w:p>
      <w:r>
        <w:t>Pour déterminer la méthode applicable à un cas particulier, il faut selon la jurisprudence se demander ce que l’assuré aurait fait si l'atteinte à la santé n'était pas survenue (ATF 133 V 504 consid. 3.3). Lorsque l’assuré accomplit ses travaux habituels, il convient d'examiner, à la lumière de sa situation personnelle, familiale, sociale et professionnelle, s'il aurait consacré, étant valide, l'essentiel de son activité à son ménage ou s'il aurait également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(ATF 137 V 334 consid. 3 et les références). Cette évaluation tiendra également compte de la volonté hypothétique de l'assuré, qui comme fait interne ne peut être l'objet d'une administration directe de la preuve et doit être déduite d'indices extérieurs établis au degré de la vraisemblance prépondérante tel que requis en droit des assurances sociales (arrêt du Tribunal fédéral 9C_279/2018 du 28 juin 2018 consid. 2.2).![endif]&gt;![if&gt;</w:t>
      </w:r>
    </w:p>
    <w:p>
      <w:r>
        <w:rPr>
          <w:b/>
        </w:rPr>
        <w:t>E. 7</w:t>
      </w:r>
    </w:p>
    <w:p>
      <w:r>
        <w:t>![endif]&gt;![if&gt;</w:t>
      </w:r>
    </w:p>
    <w:p>
      <w:r>
        <w:rPr>
          <w:b/>
        </w:rPr>
        <w:t>E. 7.1</w:t>
      </w:r>
    </w:p>
    <w:p>
      <w:r>
        <w:t>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8C_713/2019 du 12 août 2020 consid. 5.2).![endif]&gt;![if&gt;</w:t>
      </w:r>
    </w:p>
    <w:p>
      <w:r>
        <w:rPr>
          <w:b/>
        </w:rPr>
        <w:t>E. 7.2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Une expertise médicale établie sur la base d’un dossier peut avoir valeur probante pour autant que celui-ci contienne suffisamment d’appréciations médicales qui, elles, se fondent sur un examen personnel de l’assuré (RAMA 2001 n° U 438 p. 346 consid. 3d).![endif]&gt;![if&gt;</w:t>
      </w:r>
    </w:p>
    <w:p>
      <w:r>
        <w:rPr>
          <w:b/>
        </w:rPr>
        <w:t>E. 7.3</w:t>
      </w:r>
    </w:p>
    <w:p>
      <w:r>
        <w:t>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![endif]&gt;![if&gt;</w:t>
      </w:r>
    </w:p>
    <w:p>
      <w:r>
        <w:rPr>
          <w:b/>
        </w:rPr>
        <w:t>E. 7.4</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3.2).![endif]&gt;![if&gt;</w:t>
      </w:r>
    </w:p>
    <w:p>
      <w:r>
        <w:rPr>
          <w:b/>
        </w:rPr>
        <w:t>E. 7.5</w:t>
      </w:r>
    </w:p>
    <w:p>
      <w:r>
        <w:t>Le Tribunal fédéral a récemment établi une nouvelle procédure pour déterminer la capacité de travail réellement exigible dans les cas de syndromes du type troubles somatoformes douloureux et affections psychosomatiques assimilées, nécessitant désormais un établissement des faits structuré et sans résultat prédéfini, permettant de mettre en regard les facteurs extérieurs incapacitants d’une part et les ressources de compensation de l’assuré d’autre part. Il n'y a plus lieu de se fonder sur les critères ressortant de la jurisprudence rendue jusque-là, mais sur une grille d’analyse comportant des indicateurs rassemblant les éléments essentiels propres aux troubles de nature psychosomatique, concernant les catégories du degré de gravité fonctionnelle et celle de la cohérence (ATF 141 V 281 consid. 3.6). Ces indicateurs sont les éléments pertinents pour le diagnostic et les symptômes, le succès du traitement et de la réadaptation ou la résistance à ces derniers, les comorbidités, les diagnostics de la personnalité et les ressources personnelles, le contexte social, le comportement de l’assuré, la limitation uniforme du niveau des activités dans tous les domaines comparables de la vie, et le poids de la souffrance révélé par l’anamnèse établie en vue du traitement et de la réadaptation (ATF 141 V 281 consid. 4.3 et 4.4).![endif]&gt;![if&gt;</w:t>
      </w:r>
    </w:p>
    <w:p>
      <w:r>
        <w:rPr>
          <w:b/>
        </w:rPr>
        <w:t>E. 7.6</w:t>
      </w:r>
    </w:p>
    <w:p>
      <w:r>
        <w:t>Notre Haute Cour a par la suite étendu cette jurisprudence à toutes les maladies psychiques (ATF 143 V 409 consid. 4.5). Ainsi,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(arrêt du Tribunal fédéral 9C_115/2018 du 5 juillet 2018 consid. 4.1). ![endif]&gt;![if&gt;</w:t>
      </w:r>
    </w:p>
    <w:p>
      <w:r>
        <w:rPr>
          <w:b/>
        </w:rPr>
        <w:t>E. 8</w:t>
      </w:r>
    </w:p>
    <w:p>
      <w:r>
        <w:t>En l’espèce, l’intimé a nié le droit à la rente de la recourante, retenant que celle-ci avait un statut de ménagère et ne rencontrait, à dires d’experts, pas d’empêchements dans la sphère ménagère. ![endif]&gt;![if&gt;</w:t>
      </w:r>
    </w:p>
    <w:p>
      <w:r>
        <w:rPr>
          <w:b/>
        </w:rPr>
        <w:t>E. 8.1</w:t>
      </w:r>
    </w:p>
    <w:p>
      <w:r>
        <w:t>S’agissant du statut, l’intimé s’est référé à une mention dans le rapport de la Dresse C______ du 23 juin 2020 pour conclure que l'assurée avait renoncé à toute activité lucrative par choix familial en 2013. ![endif]&gt;![if&gt; Cette conclusion ne résiste pas à l’examen. S’agissant du procédé d’abord, on observe que l’intimé n’a jamais interpellé la recourante sur cette question, ce qui est pour le moins regrettable, dès lors que le statut s’apprécie entre autres en fonction des aspirations d’un assuré et qu’il s’agit dans ce cadre de déterminer sa volonté hypothétique, afin de définir quel aurait été son parcours professionnel sans atteinte à la santé. C’est en vain que l’intimé invoque le principe des déclarations de la première heure. Selon cette maxime, en cas de déclarations successives de l'intéressé contradictoires entre elles, il convient de retenir la première explication, qui correspond généralement à celle que l'assuré a faite alors qu'il n'était pas encore conscient des conséquences juridiques qu'elle aurait, les nouvelles explications pouvant être - consciemment ou non - le produit de réflexions ultérieures (ATF 143 V 168 consid. 5.2.2). Or, précisément, l’interprétation de l’intimé ne repose sur aucune déclaration émanant directement de la recourante, ni même sur une déclaration censée avoir été rapportée verbatim par un tiers, mais sur une partie de phrase dans un rapport de la psychiatre, dont l’intimé subodore qu’elle "doit correspondre aux informations données" par la recourante à cette thérapeute. Cette manière de faire surprend d’autant plus que l’intimé a lui-même souligné dans son écriture du 30 septembre 2021 qu’il n’appartient pas aux médecins de déterminer le statut d'un assuré. D'une part, on ne peut exclure que cette indication ne traduise pas fidèlement les propos réellement tenus. D'autre part, cet extrait du rapport de la Dresse C______ n’a pas la portée que lui prête l’intimé. Il n’est en effet pas assez explicite pour en inférer une renonciation volontaire à une activité lucrative par convenance personnelle. La mention des longs trajets par la psychiatre – à mettre en lien avec leur incidence sur l’état de santé de la recourante alors qu’elle était enceinte, évoquée par la Dresse B______ – suggère en effet que celle-ci a cessé son travail de secrétaire pour ce motif également, soit pour des raisons de santé. On ajoutera que, même à supposer que la recourante ait eu un statut de ménagère au sens de l’assurance-invalidité en 2013, il ne s’agit pas là d’un paramètre immuable. D'autant moins qu'elle a repris une activité lucrative en tant que maman de jour en 2014, qu’elle n’a pu poursuivre en raison d’une incapacité de travail – soit en raison de son état de santé et non par choix. L'assurée a en outre évoqué face à tous les experts son souhait de reprendre une activité lucrative, si son état de santé le lui permettait. Il n’existe aucune raison de mettre en doute l’authenticité de ses déclarations sur ce point, émises alors qu’elle ignorait encore le statut décidé par l’intimé. Le Dr G______ semble du reste également suggérer une volonté de réintégrer le marché du travail dans son rapport du 11 novembre 2019. On relèvera au surplus qu'en 2018, la recourante s’est séparée de son époux et qu'elle dépend depuis de l’assistance de l’Hospice général. Partant, au vu de ses déclarations, de son parcours personnel et de ses finances, il est plus que vraisemblable que, sans problèmes de santé, elle aurait exercé une activité professionnelle pour subvenir à ses besoins. Le fait qu’elle soit mère de trois enfants encore assez jeunes ne permet pas d’aboutir à une autre conclusion, dès lors que l'intéressée a travaillé à plein temps alors même que ses enfants étaient encore petits. Compte tenu de ces éléments, on doit admettre au degré de la vraisemblance prépondérante que, sans atteinte à sa santé, la recourante aurait exercé une activité lucrative à temps plein, si bien qu’il faut lui reconnaître un statut d’active à 100%. Dans ces circonstances, il n’est pas utile de revenir sur le fait que l’intimé n’a pas mis en œuvre d’enquête ménagère.</w:t>
      </w:r>
    </w:p>
    <w:p>
      <w:r>
        <w:rPr>
          <w:b/>
        </w:rPr>
        <w:t>E. 8.2</w:t>
      </w:r>
    </w:p>
    <w:p>
      <w:r>
        <w:t>En ce qui concerne la capacité de travail et de gain de la recourante, les experts l’ont estimée réduite de 50% dans l’ancienne activité de secrétaire, eu égard aux troubles psychiques. ![endif]&gt;![if&gt;</w:t>
      </w:r>
    </w:p>
    <w:p>
      <w:r>
        <w:rPr>
          <w:b/>
        </w:rPr>
        <w:t>E. 8.2.1</w:t>
      </w:r>
    </w:p>
    <w:p>
      <w:r>
        <w:t>Dans leur évaluation consensuelle, les experts ont résumé le dossier médical de la recourante et relaté son anamnèse. Dans ce cadre, ils ont noté qu’une IRM du rachis lombo-sacré du 17 janvier 2020 s’était révélée normale et que les radiographies du rachis lombo-sacré du 17 janvier 2020 avaient uniquement mis en évidence une discopathie dégénérative débutante en L3-L4. Ils ont rapporté les plaintes de la recourante et leurs observations cliniques. ![endif]&gt;![if&gt; La recourante rencontre des problèmes de poids depuis la fin de l'adolescence, avec des fluctuations importantes. Lors de l'expertise, une prise en charge diététique était en cours depuis environ un an, ainsi qu'un suivi par un chirurgien plastique pour prendre en charge un excès de peau au niveau abdominal ayant des répercussions sur l’image corporelle de l'assurée. Des problèmes digestifs existant depuis l'enfance ont été investigués, sans révéler de troubles. La recourante souffre également de troubles urinaires depuis son troisième accouchement, une rééducation spécialisée ayant permis d'améliorer nettement la situation. Enfin, elle présente des troubles auditifs avec des acouphènes depuis l'enfance. Elle a commencé à souffrir d’une lombo-sciatique à l’adolescence, mais son état s’est dégradé au cours de sa dernière grossesse en 2015, avec une diffusion des douleurs à la nuque et aux mains. En mars 2017, un diagnostic de fibromyalgie a été posé. Les antalgiques prescrits ont apporté un bénéfice partiel. Lors de l'expertise, la recourante se plaignait de douleurs diffuses, fluctuantes, de fourmillements des mains et des pieds et de douleurs rachidiennes. Le simple effleurement de la peau était ressenti comme douloureux. La recourante limitait au maximum les activités ménagères et les embrassades avec ses enfants. Elle était aidée par une amie, qui venait essentiellement le week-end. L'assurée a été décrite comme légèrement démonstrative lors de l'examen clinique. La palpation légère déclenchait des douleurs intenses, accompagnées de pleurs, que rien n'expliquait et qui dépassaient le cadre de la fibromyalgie telle qu'habituellement décrite. L'examen neurologique permettait d'éliminer un diagnostic de syndrome significatif du tunnel carpien et de sciatique. Les examens radiographiques récents du rachis montraient des lésions banales pour l'âge, avec essentiellement une discopathie modérée L3-L4, un trouble statique lombaire avec hyperlordose, et une antéversion du bassin dans un contexte d'obésité et de relâchement de la sangle musculaire abdominale, qui expliquaient les douleurs alléguées. Une évaluation neuropsychologique en janvier 2019 aux HUG avait mis en évidence une inattention, une impulsivité, et des fluctuations de la vigilance, mais pas d'indice en faveur d'un trouble de l'attention soutenue au sens strict. L’évaluation de M. L______ confirmait un profil similaire, auquel s'ajoutaient des troubles de l'inhibition et de la flexibilité (fonctions exécutives) et un déficit en mémoire épisodique. Il y avait toutefois des indicateurs d'exagération de symptômes lors de plusieurs tests. En lien avec son divorce, la recourante avait visiblement décompensé sur le plan psychique sous une forme anxio-dépressive. Les médecins traitants avaient relevé un parcours problématique, avec de multiples abus, notamment sur le plan sexuel. Durant la crise de 2018, la recourante a arrêté toute activité extérieure. Elle a entrepris une démarche thérapeutique, qui lui a notamment permis d’affirmer son homosexualité, élément positif dans une vie autrement décrite comme problématique, lourde, marquée par la dépression, l’anxiété et le syndrome douloureux (fibromyalgie).</w:t>
      </w:r>
    </w:p>
    <w:p>
      <w:r>
        <w:rPr>
          <w:b/>
        </w:rPr>
        <w:t>E. 8.2.2</w:t>
      </w:r>
    </w:p>
    <w:p>
      <w:r>
        <w:t>S’agissant des diagnostics qualifiés de probables seulement, les experts ont précisé qu’on ne pouvait pas retenir de diagnostic neuropsychologique, du fait des signes d'exagération de symptômes. On objectivait des troubles exécutifs, attentionnels et mnésiques compatibles avec un diagnostic de trouble de l’attention, mais on ne pouvait pas quantifier précisément les atteintes, ni se prononcer sur leur intensité réelle. Partant, on ne pouvait définir une incapacité de travail, qui était ainsi réputée nulle dans l'activité antérieure. ![endif]&gt;![if&gt; S’agissant du trouble de la personnalité, évalué par les HUG notamment sur la base d'une grille spécifique, il y avait essentiellement des éléments auto-agressifs - scarifications et autres - assez significatifs. Il était cependant difficile de déterminer rétroactivement dans quelle mesure ce trouble existait auparavant, et son impact clinique. Compte tenu de la biographie, on pouvait retenir une structuration problématique, probablement incomplète, avec des lacunes et des carences importantes. S’agissant du diagnostic de trouble d'hyperactivité et de l'attention, il n’était pas non plus véritablement clarifié. De plus, cette symptomatologie pouvait être réduite par le traitement, et elle pouvait être assez subjective, comme c’était le cas ici. Lors de l'examen, la recourante était sans médication spécifique (Ritaline®), et le taux sérique de ce médicament était largement en-dessous du seuil thérapeutique lors du monitoring deux semaines plus tôt. Il était donc inefficace. Or, une bonne compensation pouvait être attendue d’un traitement appliqué. En ce qui concernait les troubles cognitifs allégués, la recourante était normalement présente et fonctionnelle lors des entretiens avec plusieurs examinateurs. En revanche, lors des tests spécifiques, des fortes variations des performances, des incohérences et exagérations avaient été constatées, ce qui ne pouvait pas, à tout le moins pas entièrement, être attribué aux problèmes affectifs. Une certaine atteinte demeurait sur le plan psychique, essentiellement sous forme d'un état dépressif de moyenne intensité et d’une instabilité émotionnelle en général. En parallèle, un certain nombre de symptômes du registre anxieux, un peu polymorphes, variables selon les situations, d'intensité légère, étaient constatés. Ils étaient assez proches du descriptif par la recourante de son quotidien, sans inhibition majeure. L’essentiel de ses activités était centré sur ses enfants et son ménage. Elle s’occupait de ses tâches avec beaucoup d'efforts, de manière fractionnée, mais tout de même correctement. Ses problèmes psychiques avaient peu de répercussions sur ce plan et elle était à cet égard fonctionnelle à 100%. Elle avait déclaré à tous les experts lors des examens individuels qu’elle avait envie de chercher une activité professionnelle extérieure, mais qu’elle ne s’y sentait pas prête. Le probable trouble borderline pouvait avoir une incidence, actuellement sous forme d’instabilité générale.</w:t>
      </w:r>
    </w:p>
    <w:p>
      <w:r>
        <w:rPr>
          <w:b/>
        </w:rPr>
        <w:t>E. 8.2.3</w:t>
      </w:r>
    </w:p>
    <w:p>
      <w:r>
        <w:t>Les ressources étaient faibles, mais existantes, notamment grâce à sa relation avec son amie. S’agissant de la cohérence, il y avait une divergence concernant la fatigue subjectivement ressentie et les observations. En effet, il n'y avait ni bâillement, ni signe d'hypovigilance. La recourante avait pu garder le focus pendant toute la durée de l'expertise. L'échelle de somnolence d'Hepworth était légèrement perturbée, mais il ne semblait pas à l'expert que cela soit en rapport avec un éventuel syndrome d’apnées du sommeil sous-jacent. Le taux de ferritine dosé était normal et ne permettait pas non plus d'expliquer cette fatigue. Une divergence concernant un éventuel syndrome du tunnel carpien bilatéral évoqué par le Dr M______ était notée, l’expertise ne retrouvant aucun signe en faveur d'un tel diagnostic. Il y avait également sur le plan de la médecine générale une nette divergence entre les symptômes décrits, les observations médicales objectives, la réalité des lésions radiologiques et les activités quotidiennes rapportées. Il existait de légères divergences entre les troubles cognitifs allégués et les constats cliniques. ![endif]&gt;![if&gt;</w:t>
      </w:r>
    </w:p>
    <w:p>
      <w:r>
        <w:rPr>
          <w:b/>
        </w:rPr>
        <w:t>E. 8.3</w:t>
      </w:r>
    </w:p>
    <w:p>
      <w:r>
        <w:t>L’expertise des Drs I______, H______, J______ et de M. L______ satisfait tous les réquisits jurisprudentiels en matière de rapports médicaux. Elle a en effet été rédigée sur la base d’un dossier complet et d’examens cliniques poussés, l’anamnèse est fouillée et les diagnostics et les conclusions que les experts en tirent sont discutés et motivés. Ces experts se prononcent également sur les indicateurs développés par la jurisprudence en matière de troubles douloureux sans substrat organique et de troubles psychiques, notamment s’agissant de la cohérence et des ressources. Partant, leur expertise doit se voir reconnaître une pleine valeur probante. On relèvera du reste que le Dr E______, dans le courrier adressé à l’intimé, s’en est pris avant tout au statut retenu par l’intimé plutôt qu’à l’appréciation de la capacité de travail par les experts. Il faut par ailleurs relever qu’aucun médecin traitant n’a attesté une incapacité de travail en raison uniquement de problèmes somatiques, ce qui tend à corroborer les appréciations des Drs H______ et I______. Ces derniers ont en outre dûment tenu compte des problèmes de dos, d’incontinence et d’audition dans les limitations fonctionnelles qu’ils ont décrites. Aux plans psychique et neuropsychologique, les troubles rapportés par le Dr G______ ont également été pris en compte par les experts, qui ont évalué de manière convaincante leurs répercussions sur la capacité de travail. Ces derniers n’ont ainsi nullement ignoré la réalité clinique de la recourante. On relèvera d’ailleurs que dans son attestation de novembre 2019, le Dr G______ semblait justifier l’impossibilité pour la recourante de reprendre une activité lucrative de la recourante avant tout par l’investissement temporel qu’exigeait la thérapie, plus que par ses troubles psychiques en tant que tels. On notera également que l’évaluation du Dr J______ n’est en définitive pas très éloignée de celles des psychiatres traitants s’agissant de l’incidence des troubles psychiques sur la capacité de travail. En ce qui concerne le trouble borderline , la Dresse D______ notait en effet que son expression était légère en janvier 2019, ce qui est compatible avec les conclusions de l’expert psychiatre. De plus, le Dr G______ a admis en 2020 que la capacité de travail serait susceptible de s’améliorer dans l’année qui suivait, et la Dresse C______ avait retenu en juin 2020 qu’une activité adaptée à 50% pourrait être envisagée un à deux ans plus tard. Au vu de ces éléments, la capacité de travail de 50% admise par l’expert psychiatre n’apparaît pas critiquable. La date dès laquelle cette capacité de travail est exigible, soit juillet 2018, n’a pas d’incidence concrète ici, eu égard au fait que la demande de prestations n’a été déposée qu’en 2020. On soulignera enfin que la capacité de travail définie par les experts correspond à l’estimation de la capacité de travail par le Dr E______ du 19 mars 2020. La Cour de céans se ralliera ainsi aux conclusions des experts, selon lesquelles la recourante dispose d’une capacité de travail résiduelle de 50% depuis juillet 2018 dans son activité habituelle de secrétaire, adaptée à ses limitations fonctionnelles. Au sujet de l’incidence des troubles auditifs, il faut noter d’une part, qu’un tel poste n’expose pas nécessairement à un environnement bruyant et, d’autre part, que l’expert I______ a noté que l’octroi d’appareils auditifs – postérieur à son examen – permettrait de pallier bon nombre de difficultés liées aux exigences d’une telle activité.</w:t>
      </w:r>
    </w:p>
    <w:p>
      <w:r>
        <w:rPr>
          <w:b/>
        </w:rPr>
        <w:t>E. 9</w:t>
      </w:r>
    </w:p>
    <w:p>
      <w:r>
        <w:t>Il reste à examiner le droit à la rente de la recourante. ![endif]&gt;![if&gt; Compte tenu de sa capacité résiduelle dans son activité habituelle, il n’est pas nécessaire, conformément à la jurisprudence, de procéder à une comparaison chiffrée des revenus. On peut ainsi admettre que son incapacité de gain se confond avec son incapacité de travail. Eu égard à son statut d’active à 100%, la recourante présente ainsi un degré d’invalidité de 50%. Son incapacité de travail étant survenue en juillet 2018 selon l’expertise, le délai de carence d’une année prévu à l’art. 28 LAI s’est achevé en juillet 2019. La demande de rente n’ayant été formulée que le 3 février 2020, c’est au plus tôt six mois après son dépôt, en vertu de l’art. 29 al. 1 LAI, que naît le droit à cette prestation, soit dès le 1 er août 2020. La décision de l’intimé doit ainsi être réformée en ce sens.</w:t>
      </w:r>
    </w:p>
    <w:p>
      <w:r>
        <w:rPr>
          <w:b/>
        </w:rPr>
        <w:t>E. 10</w:t>
      </w:r>
    </w:p>
    <w:p>
      <w:r>
        <w:t>Le recours est partiellement admis.![endif]&gt;![if&gt; La recourante a droit à des dépens, fixés à CHF 2'000.- (art. 61 let. g LPGA). Une telle indemnité peut en effet être allouée à une partie sans conclusion expresse dans ce sens (ATF 118 V 139 consid. 3). La procédure en matière de contestations portant sur des prestations de l’assurance-invalidité n’étant pas gratuite, l’intimé supporte l’émolument de CHF 500.-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