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A/2876/2020 vom 8. Februar 2022</w:t>
      </w:r>
    </w:p>
    <w:p>
      <w:r>
        <w:t>GE Cour de justice, 2022-02-08, FR</w:t>
      </w:r>
    </w:p>
    <w:p>
      <w:r>
        <w:rPr>
          <w:b/>
        </w:rPr>
        <w:t xml:space="preserve">Quelle: </w:t>
      </w:r>
      <w:r>
        <w:t>https://mcp.opencaselaw.ch/entscheid/ge_gerichte_A_2876_2020</w:t>
      </w:r>
    </w:p>
    <w:p>
      <w:r>
        <w:t>FR: GE_GERICHTE A/2876/2020 du 8 février 2022</w:t>
      </w:r>
    </w:p>
    <w:p>
      <w:r>
        <w:t>IT: GE_GERICHTE A/2876/2020 del 8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Commission de rédaction de l’Assemblée fédérale du 19 mai 2021, publié le 18 juin 2021 in RO 2021 358).</w:t>
      </w:r>
    </w:p>
    <w:p>
      <w:r>
        <w:rPr>
          <w:b/>
        </w:rPr>
        <w:t>E. 4</w:t>
      </w:r>
    </w:p>
    <w:p>
      <w:r>
        <w:t>Interjeté dans les formes et délais légaux, le recours est recevable (art. 56 al. 1, 60 et 61 let. b LPGA).</w:t>
      </w:r>
    </w:p>
    <w:p>
      <w:r>
        <w:rPr>
          <w:b/>
        </w:rPr>
        <w:t>E. 5</w:t>
      </w:r>
    </w:p>
    <w:p>
      <w:r>
        <w:t>Le litige porte sur le point de savoir si l’intimée était fondée à ne pas entrer en matière sur la révision procédurale de sa décision du 1 er novembre 2019, entrée en force.</w:t>
      </w:r>
    </w:p>
    <w:p>
      <w:r>
        <w:rPr>
          <w:b/>
        </w:rPr>
        <w:t>E. 6.1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w:t>
      </w:r>
    </w:p>
    <w:p>
      <w:r>
        <w:rPr>
          <w:b/>
        </w:rPr>
        <w:t>E. 6.2</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dans les 90 jours qui suivent la découverte du motif de révision, mais au plus tard dix ans après la notification de la décision sur recours. La jurisprudence considère que les règles sur les délais prévues à l’art. 67 PA s’appliquent, en vertu de l’art. 55 al. 1 LPGA, à la révision procédurale d’une décision administrative selon l’art. 53 al. 1 LPGA (arrêt du Tribunal fédéral U.561/06 du 28 mai 2007 consid. 4 et la référence).</w:t>
      </w:r>
    </w:p>
    <w:p>
      <w:r>
        <w:rPr>
          <w:b/>
        </w:rPr>
        <w:t>E. 6.3</w:t>
      </w:r>
    </w:p>
    <w:p>
      <w:r>
        <w:t>En l’espèce, quand bien même faudrait-il considérer que la demande de révision du 30 juin 2020 respecte les délais de l’art. 67 al. 1 PA, comme on le verra plus loin, les faits invoqués par le recourant ne constituent pas des faits nouveaux.</w:t>
      </w:r>
    </w:p>
    <w:p>
      <w:r>
        <w:rPr>
          <w:b/>
        </w:rPr>
        <w:t>E. 7.1</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sur le Tribunal fédéral, du 17 juin 2005 (LTF - RS 173.110).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au jugement, ou, plus précisément, après l’ultime moment auquel ils pouvaient encore être utilement invoqués dans la procédure principale ; 5) le requérant n’a pas pu, malgré toute sa diligence, invoquer ces faits dans la procédure précédente (arrêt du Tribunal fédéral 8C_562/2020 du 14 avril 2021 consid. 3.2 et les références).</w:t>
      </w:r>
    </w:p>
    <w:p>
      <w:r>
        <w:rPr>
          <w:b/>
        </w:rPr>
        <w:t>E. 7.2</w:t>
      </w:r>
    </w:p>
    <w:p>
      <w:r>
        <w:t>Quant aux preuves concluantes, elles supposent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(arrêt précité consid. 3.3 et les références).</w:t>
      </w:r>
    </w:p>
    <w:p>
      <w:r>
        <w:rPr>
          <w:b/>
        </w:rPr>
        <w:t>E. 7.3</w:t>
      </w:r>
    </w:p>
    <w:p>
      <w:r>
        <w:t>En l’occurrence, à titre de faits ou moyens de preuve nouveaux, le recourant se prévaut du rapport du Dr D______ du 2 juin 2020. Ce médecin y indique que le recourant souffre d’un syndrome d’hyperpression ulno-carpien associé à une déchirure du ligament triangulaire fibro-cartilagineux complexe du carpe droit et à une instabilité du tendon de l’extenseur ulnaire du carpe sur le dos de l’articulation radio-ulnaire distale. Or, il s’agit de diagnostics que le praticien a déjà posés dans ses rapports des 20 septembre 2016, 24 janvier 2017 et 4 avril 2017, produits dans le cadre de la procédure opposant les parties et ayant fait l’objet de l’arrêt rendu par la chambre de céans le 29 janvier 2018 ( ATAS/79/2018 ). Force est de constater que ces faits n’ont pas été découverts après coup, soit postérieurement à la décision du 1 er novembre 2019 ; ils étaient déjà connus. Par ailleurs, le Dr D______ y mentionne que le recourant présente un cubitus plus long en rapport avec le radius, facteur susceptible de développer des lésions lors d’un traumatisme, tel que celui subi par son patient en août 2015. Or, l’existence de l’allongement du cubitus par rapport au radius, pour lequel le spécialiste proposait une ostéotomie de raccourcissement du cubitus, lui était également déjà connue, puisque dans les trois rapports précités, il faisait état de cette particularité anatomique et préconisait cette opération. En définitive, le rapport du Dr D______ du 2 juin 2020 ne permet pas d’établir des faits réellement inconnus au moment de la décision du 1 er novembre 2019. Quant à l’avis que ce praticien émet au sujet du lien de causalité entre l’accident du 9 août 2015, la longueur du cubitus et les lésions du recourant, il ne s’agit que d’une appréciation, non pas sur la base d’éléments objectifs qui auraient été ignorés lors de la décision du 1 er novembre 2019, mais - a posteriori - différente de celle effectuée par les experts mandatés par l’intimée. À l’inverse du Dr D______, son confrère, le Dr C______, retient uniquement des troubles dégénératifs liés à l’accident survenu en 1984 et s’oppose à l’intervention chirurgicale susmentionnée en l’absence de signe métaboliquement actif et objectivable d’un conflit ulno-carpien (rapport d’expertise du 29 janvier 2019, p. 13 et 16). Les observations divergentes de ces deux médecins tendent à démontrer qu’ils ont apprécié différemment la même situation. Le recourant, qui n’a pas formé à temps opposition à la décision du 1 er novembre 2019 et n’a ainsi pas contesté l’appréciation du Dr C______, ne peut pas, dans le cadre d’une demande de révision, s’attaquer à la force probante du rapport d’expertise de ce spécialiste sur laquelle s’est fondée l’intimée pour statuer à ce moment. C’est donc à bon droit que l’intimée a constaté que les conditions d’une révision procédurale de sa décision du 1 er novembre 2019 n’étaient pas réunies.</w:t>
      </w:r>
    </w:p>
    <w:p>
      <w:r>
        <w:rPr>
          <w:b/>
        </w:rPr>
        <w:t>E. 8</w:t>
      </w:r>
    </w:p>
    <w:p>
      <w:r>
        <w:t>Aussi, le recours ne peut-il être que rejeté. Le recourant, qui succombe, n’a pas droit à des dépens (art. 61 let. g LPGA a contrario).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