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A/2872/2013 vom 26. September 2013</w:t>
      </w:r>
    </w:p>
    <w:p>
      <w:r>
        <w:t>GE Cour de justice, 2013-09-26, FR</w:t>
      </w:r>
    </w:p>
    <w:p>
      <w:r>
        <w:rPr>
          <w:b/>
        </w:rPr>
        <w:t xml:space="preserve">Quelle: </w:t>
      </w:r>
      <w:r>
        <w:t>https://mcp.opencaselaw.ch/entscheid/ge_gerichte_A_2872_2013</w:t>
      </w:r>
    </w:p>
    <w:p>
      <w:r>
        <w:t>FR: GE_GERICHTE A/2872/2013 du 26 septembre 2013</w:t>
      </w:r>
    </w:p>
    <w:p>
      <w:r>
        <w:t>IT: GE_GERICHTE A/2872/2013 del 26 settembre 2013</w:t>
      </w:r>
    </w:p>
    <w:p>
      <w:pPr>
        <w:pStyle w:val="Heading2"/>
      </w:pPr>
      <w:r>
        <w:t>Volltext</w:t>
      </w:r>
    </w:p>
    <w:p>
      <w:r>
        <w:t>Genève Cour de justice (Cour de droit public) Chambre administrative 26.09.2013 A/2872/2013</w:t>
      </w:r>
    </w:p>
    <w:p>
      <w:r>
        <w:t>A/2872/2013 ATA/635/2013 du 26.09.2013 ( MARPU ) , REFUSE Parties : SOTTAS SA / DEPARTEMENT DE L'URBANISME RÉPUBLIQUE ET CANTON DE GENÈVE POUVOIR JUDICIAIRE A/2872/2013 - MARPU ATA/635/2013 COUR DE JUSTICE Chambre administrative Décision du 26 septembre 2013 sur effet suspensif dans la cause SOTTAS S.A. représentée par Me Pierre Toffel, avocat contre DÉPARTEMENT DE L'URBANISME Vu le recours interjeté le 9 septembre 2013 par SOTTAS SA contre une décision du département de l'urbanisme (ci-après : le département) du 29 août 2013 interrompant pour justes motifs la procédure d'appel d'offres HEG Battelle CFC 214.3 – Façades, le cahier des charges du 25 juin 2013 devant être modifié et complété  ; attendu que Sottas S.A. conclut à l'annulation de la décision susmentionnée pour violation des art. 47 du règlement sur la passation des marchés publics du 17 décembre 2007 (RMP - L 6 05.01) et 13 let. i de l'Accord intercantonal sur les marchés publics du 25 novembre 1994 (AIMP - L 6 05), le nouvel appel d'offres du 29 août 2013 n’étant différent que sur deux points de détail de l'appel d'offres précédent ; que Sottas S.A. sollicite la restitution de l'effet suspensif à son recours, ce dernier n'apparaissant pas manifestement irrecevable ; vu les observations du département du 17 septembre 2013, concluant au rejet de la requête de restitution d'effet suspensif, car cela ferait obstacle à la poursuite de la nouvelle procédure, mettant en péril la réalisation du marché selon le planning du chantier ; considérant que le recours, interjeté dans les dix jours par-devant l'autorité compétente, est prima facie recevable à cet égard (art. 15 al. 2 et 2bis AIMP ; art. 56 al. 1 RMP ; art. 62 al. 1 let. b de la loi sur la procédure administrative du 12 septembre 1985 - LPA - E 5 10) ; qu'aux termes des art. 17 al. 1 AIMP et 58 al. 1 RMP, le recours n’a pas d’effet suspensif ; que, toutefois, l’autorité de recours peut, d’office ou sur demande, restituer cet effet pour autant que le recours paraisse suffisamment fondé et qu’aucun intérêt public ou privé prépondérant ne s’y oppose (art. 17 al. 2 AIMP et 58 al. 2 RMP) ; que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 qu'en l'espèce, les chances de succès du recours de Sottas S.A. apparaissent ténues dès lors qu'elle ne soutient pas que la décision querellée lui causerait un préjudice personnel, juridique ou financier ; que l'intérêt public invoqué par le département, soit la nécessité de ne pas compromettre le planning du chantier, est important et que la recourante ne lui en oppose pas ; qu'au vu de ce qui précède, l'effet suspensif ne sera pas restitué ; que le sort des frais de la procédure sera réservé jusqu'à droit jugé au fond ; vu l’art. 66 al. 2 LPA ; vu l’art. 7 al. 1 du règlement de la chambre administrative du 21 décembre 2010 ; LA CHAMBRE ADMINISTRATIVE refuse de restituer l’effet suspensif au recours formé par Sottas S.A. le 9 septembre 2013 contre la décision du département de l'urbanisme du 29 août 2013;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Toffel, avocat de la recourante ainsi qu'au département de l'urbanisme.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