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A/286/2010 vom 19. Januar 2010</w:t>
      </w:r>
    </w:p>
    <w:p>
      <w:r>
        <w:t>GE Cour de justice, 2010-01-19, FR</w:t>
      </w:r>
    </w:p>
    <w:p>
      <w:r>
        <w:rPr>
          <w:b/>
        </w:rPr>
        <w:t xml:space="preserve">Quelle: </w:t>
      </w:r>
      <w:r>
        <w:t>https://mcp.opencaselaw.ch/entscheid/ge_gerichte_A_286_2010</w:t>
      </w:r>
    </w:p>
    <w:p>
      <w:r>
        <w:t>FR: GE_GERICHTE A/286/2010 du 19 janvier 2010</w:t>
      </w:r>
    </w:p>
    <w:p>
      <w:r>
        <w:t>IT: GE_GERICHTE A/286/2010 del 19 gennaio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19 janvier 2010, Monsieur X______, alors détenu à la Prison de Champ-Dollon/Genève a saisi le Tribunal administratif d’un recours contre « la punition illégalement appliquée contre [ma] personne du 23 décembre 2009 au 26 décembre 2009 ». Aucune motivation n’était développée à l’appui de ce recours, ni aucune conclusion prise.</w:t>
      </w:r>
    </w:p>
    <w:p>
      <w:r>
        <w:rPr>
          <w:b/>
        </w:rPr>
        <w:t>E. 2</w:t>
      </w:r>
    </w:p>
    <w:p>
      <w:r>
        <w:t>Par pli recommandé avec copie en courrier A du 26 janvier 2010, le greffe du Tribunal administratif a demandé à M. X______ de produire, par retour du courrier, la décision attaquée et de motiver son recours, sous peine d’irrecevabilité. Référence était faite à l’art. 65 al. 2 de la loi sur la procédure administrative du 12 septembre 1985 (LPA - E 5 10), citée en toutes lettres au bas du pli.</w:t>
      </w:r>
    </w:p>
    <w:p>
      <w:r>
        <w:rPr>
          <w:b/>
        </w:rPr>
        <w:t>E. 3</w:t>
      </w:r>
    </w:p>
    <w:p>
      <w:r>
        <w:t>Vu la nature du litige, aucun émolument ne sera mis à la charge du recourant (art. 11 al. du règlement sur les frais, émoluments et indemnités en procédure administrative du 30 juillet 1986 - RFPA - E 5 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