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A/2868/2023 vom 12. Januar 2024</w:t>
      </w:r>
    </w:p>
    <w:p>
      <w:r>
        <w:t>GE Cour de justice, 2024-01-12, FR</w:t>
      </w:r>
    </w:p>
    <w:p>
      <w:r>
        <w:rPr>
          <w:b/>
        </w:rPr>
        <w:t xml:space="preserve">Quelle: </w:t>
      </w:r>
      <w:r>
        <w:t>https://mcp.opencaselaw.ch/entscheid/ge_gerichte_A_2868_2023</w:t>
      </w:r>
    </w:p>
    <w:p>
      <w:r>
        <w:t>FR: GE_GERICHTE A/2868/2023 du 12 janvier 2024</w:t>
      </w:r>
    </w:p>
    <w:p>
      <w:r>
        <w:t>IT: GE_GERICHTE A/2868/2023 del 12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la conformité au droit de la décision sur réclamation de l’intimée confirmant l’ordre adressé à la recourante de restituer un montant de CHF 33'714.60 dévolu au titre d’aide financière extraordinaire dans le contexte de la crise du Covid-19. ![endif]&gt;![if&gt;</w:t>
      </w:r>
    </w:p>
    <w:p>
      <w:r>
        <w:rPr>
          <w:b/>
        </w:rPr>
        <w:t>E. 2.1</w:t>
      </w:r>
    </w:p>
    <w:p>
      <w:r>
        <w:t>Le 25 septembre 2020, l’Assemblée fédérale a adopté la loi fédérale sur les bases légales des ordonnances du Conseil fédéral visant à surmonter l’épidémie de Covid-19 (loi Covid-19 - RS 818.102). Celle-ci prévoit que la Confédération peut, à la demande d’un ou de plusieurs cantons, soutenir les mesures de ces cantons pour les cas de rigueur destinées aux entreprises (art. 12).![endif]&gt;![if&gt; L’art. 12 al. 4 de la loi Covid-19 prévoit que le Conseil fédéral règle les détails dans une ordonnance.</w:t>
      </w:r>
    </w:p>
    <w:p>
      <w:r>
        <w:rPr>
          <w:b/>
        </w:rPr>
        <w:t>E. 2.2</w:t>
      </w:r>
    </w:p>
    <w:p>
      <w:r>
        <w:t>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à 6 ordonnance Covid-19).![endif]&gt;![if&gt;</w:t>
      </w:r>
    </w:p>
    <w:p>
      <w:r>
        <w:rPr>
          <w:b/>
        </w:rPr>
        <w:t>E. 2.3</w:t>
      </w:r>
    </w:p>
    <w:p>
      <w:r>
        <w:t>Le 29 janvier 2021, le Grand Conseil genevois a adopté la loi 12'863 relative aux aides financières extraordinaires de l’État destinées aux entreprises particulièrement touchées par la crise économique ou directement par les mesures de lutte contre l’épidémie de coronavirus pour l’année 2021 (ci-après : aLAFE‑2021).![endif]&gt;![if&gt; La loi avait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 er janvier 2021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 Les aides financières consistent en une participation de l’État aux coûts fixes non couverts de certaines entreprises (art. 2 al. 1). La participation financière indûment perçue devait être restituée sur décision du département (16 al. 1 aLAFE-2021). Est indûment perçue la participation financière utilisée à d’autres fins que la couverture des coûts fixes tels que précisés à l’art. 5 aLAFE-2021.</w:t>
      </w:r>
    </w:p>
    <w:p>
      <w:r>
        <w:rPr>
          <w:b/>
        </w:rPr>
        <w:t>E. 2.4</w:t>
      </w:r>
    </w:p>
    <w:p>
      <w:r>
        <w:t>Le 3 février 2021, le Conseil d’État a adopté le règlement d’application de la loi 12'863 relative aux aides financières extraordinaires de l’État destinées aux entreprises particulièrement touchées par la crise économique ou directement par les mesures de lutte contre l’épidémie de coronavirus, pour l’année 2021 (aRAFE‑2021).![endif]&gt;![if&gt; Selon l’art. 17 aRAFE-2021, l’entreprise demanderesse et le département signent une convention qui permet notamment au DEE d’obtenir des données sur l’entreprise nécessaires à l’étude des dossiers et à la gestion des aides auprès d’autres services fédéraux, cantonaux ou communaux. L’entreprise demanderesse collabore à l’instruction du dossier et renseigne régulièrement le DEE, afin de lui présenter une image fidèle et transparente de la marche de ses affaires (art. 20 aRAFE-2021). Les entreprises ayant bénéficié de l’octroi d’une aide s’engagent à faire parvenir au DEE, sur sa demande, durant les trois années qui suivent le versement de l’aide, la documentation permettant de vérifier que les conditions d’octroi ont été respectées (art. 23 aRAFE-2021). Les montants indûment perçus, conformément à l’art. 16 aLAFE-2021, doivent être restitués (art. 24 al. 1 aRAFE-2021).</w:t>
      </w:r>
    </w:p>
    <w:p>
      <w:r>
        <w:rPr>
          <w:b/>
        </w:rPr>
        <w:t>E. 2.5</w:t>
      </w:r>
    </w:p>
    <w:p>
      <w:r>
        <w:t>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Elle prévoit que la participation financière indûment perçue doit être restituée sur décision du département (art. 17 al. 1 LAFE-2021). ![endif]&gt;![if&gt;</w:t>
      </w:r>
    </w:p>
    <w:p>
      <w:r>
        <w:rPr>
          <w:b/>
        </w:rPr>
        <w:t>E. 2.6</w:t>
      </w:r>
    </w:p>
    <w:p>
      <w:r>
        <w:t>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qui a abrogé l’aRAFE-2021 (art. 31), tout en en reprenant le dispositif pour l’essentiel, et a été modifié le 7 juillet 2021.![endif]&gt;![if&gt; Le montant de l’indemnité correspond aux coûts fixes 2020 admis au sens de l’art. 7, dont la teneur correspond à celle de l’art. 5 aRAFE-2021, calculé à compter du 1 er janvier 2021 au prorata du nombre de jours pendant lesquels l’activité est totalement ou partiellement interdite (art. 9 al. 1 RAFE-2021). L’entreprise demanderesse et le département signent une convention qui permet à ce dernier de se procurer des données sur l’entreprise concernée auprès d’autres offices de la Confédération et des cantons ou de communiquer à ces offices des données sur l’entreprise, dans la mesure où celles-ci sont nécessaires à l’examen des demandes, à la gestion des aides et à la lutte contre les abus (art. 22 RAFE‑2021). L’entreprise demanderesse collabore à l’instruction du dossier et renseigne régulièrement le département, afin de lui présenter une image fidèle et transparente de la marche de ses affaires (art. 25 RAFE-2021). En cas d’octroi d’une aide financière et versement d’un acompte, une décision rappelant les conditions et modalités d’octroi et de versement ainsi que les obligations du bénéficiaire est adressée aux entreprises (art. 27 al. 1 RAFE-2021). Les entreprises ayant bénéficié de l’octroi d’une aide s’engagent à faire parvenir au département, à sa demande, durant l’exercice au cours duquel le versement de l’aide a été effectué et durant les trois années qui suivent, la documentation permettant de vérifier que les conditions d’octroi ont été respectées (art. 28 RAFE-2021). Les montants indûment perçus, conformément à l’art. 17 LAFE-2021 doivent être restitués (art. 29 al. 3 RAFE-2021).</w:t>
      </w:r>
    </w:p>
    <w:p>
      <w:r>
        <w:rPr>
          <w:b/>
        </w:rPr>
        <w:t>E. 2.7</w:t>
      </w:r>
    </w:p>
    <w:p>
      <w:r>
        <w:t>Selon l'art. 957 al. 1 ch. 2 de la loi fédérale du 30 mars 1911, complétant le Code civil suisse (CO, Code des obligations - RS 220), les personnes morales ont l'obligation de tenir une comptabilité et présenter des comptes conformément au chapitre I du Titre trente-deuxième du CO. ![endif]&gt;![if&gt; La comptabilité constitue la base de l’établissement des comptes. Elle enregistre les transactions et les autres faits nécessaires à la présentation du patrimoine, de la situation financière et des résultats de l’entreprise (situation économique). Elle est tenue conformément au principe de régularité, qui comprend notamment l’enregistrement intégral, fidèle et systématique des transactions et des autres faits nécessaires au sens de l’al. 1, la justification de chaque enregistrement par une pièce comptable, la clarté (art. 957 a al. 1 et 2 CO). Les comptes doivent présenter la situation économique de l’entreprise de façon qu’un tiers puisse s’en faire une opinion fondée (art. 958 al. 1 CO). Il ressort de l'art. 958 b CO que les charges et les produits sont présentés conformément aux principes de la délimitation périodique et du rattachement des charges aux produits (al. 1). Si les produits nets des ventes des biens et des prestations de services ou les produits financiers ne dépassent pas CHF 100'000.-, il est possible de déroger au principe de la délimitation périodique et d’établir une comptabilité de dépenses et de recettes (al. 2). Selon l'art. 958 c al. 1 CO, l’établissement régulier des comptes est régi en particulier par les principes de : 1. la clarté et l’intelligibilité ; 2. l’intégralité ; 3. la fiabilité ; 4. l’importance relative ; 5. la prudence ; 6. la permanence de la présentation et des méthodes d’évaluation ; 7. l’interdiction de la compensation entre les actifs et les passifs et entre les charges et les produits.</w:t>
      </w:r>
    </w:p>
    <w:p>
      <w:r>
        <w:rPr>
          <w:b/>
        </w:rPr>
        <w:t>E. 2.8</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L’interdiction de la rétroactivité (proprement dite) des lois fait obstacle à l’application d’une norme à des faits entièrement révolus avant son entrée en vigueur (ATF 147 V 156 consid. 7.2.1).![endif]&gt;![if&gt; De manière générale, une révocation est possible aux conditions prévues dans la loi (ATF 134 II 1 consid. 4.1) ou, en l’absence de base légale, également lorsqu’un intérêt public particulièrement important l’impose (ATF 139 II 185 consid. 10.2.3 ; 137 I 69 consid. 2.3 ; 135 V 215 consid. 5.2 ; 127 II 306 consid. 7a). La révocation d’une décision pour inexécution d’une obligation ne requiert pas de base légale, si cette obligation est l’une des conditions objectives que la loi pose à l’octroi d’une prestation : il s’agit là de « rétablir » l’ordre légal ( ATA/1042/2022 du 17 octobre 2022 consid. 2f).</w:t>
      </w:r>
    </w:p>
    <w:p>
      <w:r>
        <w:rPr>
          <w:b/>
        </w:rPr>
        <w:t>E. 2.9</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3.1.2).![endif]&gt;![if&gt; Le principe de la bonne foi entre administration et administré exprimé aux art. 9 et 5 al. 3 de la Constitution fédérale de la Confédération suisse du 18 avril 1999 (Cst. - RS 101)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w:t>
      </w:r>
    </w:p>
    <w:p>
      <w:r>
        <w:rPr>
          <w:b/>
        </w:rPr>
        <w:t>E. 2.10</w:t>
      </w:r>
    </w:p>
    <w:p>
      <w:r>
        <w:t>En l’espèce, le principe du remboursement des montants perçus indûment est expressément prévu par l’aLAFE-2021 (art. 16), par la LAFE-2021 (art. 17), ainsi que par la décision d’octroi et la convention signée par la recourante avec le département.![endif]&gt;![if&gt; L’aide a été octroyée à la recourante sur la base de coûts fixes erronés et il est apparu a posteriori, sur la base de coûts fixes définitifs inférieurs, portés à la connaissance du département, que la société a en réalité perçu une aide supérieure au montant auquel elle avait droit. Le chiffre retenu par l’intimée au titre des coûts fixes 2020, à savoir de loyer annuel, pris en compte initialement (CHF 144'936.‑) ressort du formulaire et a été inscrit comme tel par la recourante. Or, ce montant ne correspond pas à celui de CHF 110'016.24, retenu dans les états financiers définitifs 2020, déclaré auprès de l’AFC-GE et objet de la taxation fiscale, non contestée par la société. Ce dernier montant représente les loyers effectivement payés en 2020 par la recourante, conformément à l’accord trouvé avec sa régie. La société n’a pas provisionné en 2020 le solde encore dû, dont elle s’est acquittée ultérieurement. Ses états financiers 2021 présentent ainsi un loyer annuel supérieur de CHF 221'569.- au montant contractuel de quelque CHF 170'000.-. Le traitement des demandes par le département s’est fait sur la base des chiffres figurant dans le formulaire, afin de privilégier une aide financière rapidement. La convention et la décision d’octroi insistaient cependant sur la nécessité de présenter les faits de manière exacte dans le formulaire en ligne, et la recourante ne peut donc opposer sa propre erreur au département, et soutenir que celui-ci aurait dû le constater immédiatement. Pour ces raisons, le principe du remboursement des montants perçus indûment est fondé. La recourante ne saurait reprocher à l’intimée d’avoir été de mauvaise foi, l’erreur résultant du formulaire qu’elle avait elle-même rempli. Que celle‑ci soit involontaire et provienne d’une erreur de son ancienne comptable, n’est en soi pas déterminant, puisque l’erreur de l’auxiliaire est imputable à la société, étant rappelé que le formulaire consiste principalement en une douzaine de cases à compléter. Elle ne peut ainsi faire grief à l’intimée de s’être fié dans un premier temps aux informations fournies pour lui octroyer l’aide financière querellée puis d’avoir dans un second temps réexaminé le dossier et réformé sa décision. Elle ne peut pas non plus se prévaloir de sa bonne foi. En particulier, elle ne peut prétendre s’être fiée de bonne foi à une décision de l’administration prise sur la base d’informations erronées, qui lui sont imputables, ni soutenir en avoir inféré des assurances, étant rappelé que le réexamen des demandes était expressément réservé dans les contrats et dans la décision d’octroi. Sans nier les nombreuses difficultés invoquées par les administrateurs de la société, ces circonstances ne sont pas de nature à modifier ce qui précède, étant rappelé que celle-ci ne démontre pas, contrairement à ce qu’elle a précédemment soutenu, être intervenue auprès de l’AFC-GE pour corriger les comptes. L’intimée ne pouvait en conséquence pas s’écarter des comptes définitifs de la recourante alors même que l’AFC-GE avait procédé à sa taxation 2020 sur la base des mêmes documents et que cette taxation était entrée en force à défaut d’opposition de l’intéressée. Le grief sera donc écarté. Le calcul n’étant pour le surplus pas contesté, le recours est mal fondé et doit être rejeté.</w:t>
      </w:r>
    </w:p>
    <w:p>
      <w:r>
        <w:rPr>
          <w:b/>
        </w:rPr>
        <w:t>E. 3</w:t>
      </w:r>
    </w:p>
    <w:p>
      <w:r>
        <w:t>Vu l’issue du litige, un émolument de CHF 500.-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