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A/2868/2020 vom 22. November 2022</w:t>
      </w:r>
    </w:p>
    <w:p>
      <w:r>
        <w:t>GE Cour de justice, 2022-11-22, FR</w:t>
      </w:r>
    </w:p>
    <w:p>
      <w:r>
        <w:rPr>
          <w:b/>
        </w:rPr>
        <w:t xml:space="preserve">Quelle: </w:t>
      </w:r>
      <w:r>
        <w:t>https://mcp.opencaselaw.ch/entscheid/ge_gerichte_A_2868_2020</w:t>
      </w:r>
    </w:p>
    <w:p>
      <w:r>
        <w:t>FR: GE_GERICHTE A/2868/2020 du 22 novembre 2022</w:t>
      </w:r>
    </w:p>
    <w:p>
      <w:r>
        <w:t>IT: GE_GERICHTE A/2868/2020 del 22 novembre 2022</w:t>
      </w:r>
    </w:p>
    <w:p>
      <w:pPr>
        <w:pStyle w:val="Heading2"/>
      </w:pPr>
      <w:r>
        <w:t>Regeste</w:t>
      </w:r>
    </w:p>
    <w:p>
      <w:r>
        <w:t>AMÉNAGEMENT DU TERRITOIRE ET DROIT PUBLIC DES CONSTRUCTIONS;CONSTRUCTION ET INSTALLATION;TRAVAUX DE CONSTRUCTION;PLAN DIRECTEUR;PLAN D'AFFECTATION CANTONAL;TRAVAUX SOUMIS À AUTORISATION;PERMIS DE CONSTRUIRE;CONFORMITÉ À LA ZONE;PESÉE DES INTÉRÊTS;INTÉRÊT PUBLIC;PRINCIPE DE LA COUVERTURE DES FRAIS;PRINCIPE DE L'ÉQUIVALENCE(CONTRIBUTION CAUSALE);LÉGALITÉ;ÉMOLUMENT;EXCEPTION(DÉROGATION) | Admission partielle du recours du propriétaire de parcelles ayant sollicité une autorisation de construire et s'étant vu opposé un refus conservatoire par le département. Le projet de modification de zones en cause n'ayant pas été adopté dans le délai légal de deux ans suivant le refus de délivrer l'autorisation litigieuse, celui-ci n'est plus fondé. | LaLAT.13B; LCI.154; RCI.254; RCI.257</w:t>
      </w:r>
    </w:p>
    <w:p>
      <w:pPr>
        <w:pStyle w:val="Heading2"/>
      </w:pPr>
      <w:r>
        <w:t>Erwägungen</w:t>
      </w:r>
    </w:p>
    <w:p>
      <w:r>
        <w:rPr>
          <w:b/>
        </w:rPr>
        <w:t>E. 2</w:t>
      </w:r>
    </w:p>
    <w:p>
      <w:r>
        <w:t>;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 c.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 La perception de contributions publiques est soumise aux principes constitutionnels régissant toute activité étatique, en particulier aux principes de la légalité, de l'intérêt public et de la proportionnalité (art. Cst.), de l'égalité de traitement (art. 8 Cst.), de la bonne foi et de l'interdiction de l'arbitraire (art. 9 Cst.), ainsi que de la non-rétroactivité. 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 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 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 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 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 h. Dans sa jurisprudence, la chambre de céans a fait siennes les considérations du TAPI sur l'absence de tout arbitraire quant à la fixation du montant de l'émolument arrêté par le département, relevant également que pour ce motif, sauf à statuer en opportunité ce que ne lui permettait pas l'art. 254 al. 1 RCI cum art. 61 al. 1 et 2 LPA, elle ne pouvait pas revoir le montant réclamé ( ATA/1306/2018 du 5 décembre 2018 consid. 7d). Dans une jurisprudence récente ( ATA/146/2021 précité), la chambre administrative a retenu que l'art. 257 al. 3 RCI contrevenait au principe de la légalité. Le département n'a pas recouru contre cet arrêt au contraire de la recourante qui a été déboutée par le Tribunal fédéral sur une autre question (arrêt du Tribunal fédéral 1C_142/2021 du 22 décembre 2021). i. En l'espèce, le recourant estime qu'une réduction drastique du montant de l'émolument d'immeuble en CHF 33'300.- (après déduction de CHF 250.- de frais d'enregistrement) facturé par le département s'impose au seul motif que, dans la mesure où un refus conservatoire a été prononcé, l'instruction du dossier n'aurait pas été menée à terme. Il appert toutefois, comme l'a retenu à bon droit le TAPI, que le département a procédé à une instruction de la demande d'autorisation de construire sous tous ses aspects et de manière circonstanciée, notamment en sollicitant et recueillant les préavis des instances concernées. Le fait qu'il s'agisse au final d'une décision de refus ne suffit pas à lui seul à justifier une réduction de l'émolument, lequel a été calculé conformément aux bases légales par le département sans abuser de son pouvoir d'appréciation, ni violer les principes d'égalité de traitement et de proportionnalité. Il n'apparaît en revanche pas, à l'examen du dossier et à la lecture de la jurisprudence précitée, que le département aurait violé les principes de la couverture des coûts et d'équivalence dont se prévaut le recourant sans toutefois expliquer en quoi ceux-ci n'aurait pas été respectés. Ce grief sera rejeté. Au vu de ce qui précède, le recours sera partiellement admis. 11) Aucun émolument ne sera mis à la charge de la commune et du département du territoire, quand bien même ils succombent sur la question principale du recours (art. 87 al. 1 2 ème phrase). Le recourant supportera un émolument de CHF 500.- dans la mesure où il succombe sur la question de l’émolument d’immeuble (art. 87 al. 1 LPA). Une indemnité de procédure de CHF1'500.- lui sera allouée, à laquelle il a conclu, à la charge de l’État (art. 87 al. 2 LPA). Il ne sera pas alloué d’indemnité à la commune qui ne s’est à juste titre pas prononcée au stade du recours sur la question de l’émolument d’immeuble et qui au demeurant compte plus de 10'000 habitants (notamment ATA/1223/2021 du 16 novembre 2021 ;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