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A/2867/2020 vom 19. Oktober 2020</w:t>
      </w:r>
    </w:p>
    <w:p>
      <w:r>
        <w:t>GE Cour de justice, 2020-10-19, FR</w:t>
      </w:r>
    </w:p>
    <w:p>
      <w:r>
        <w:rPr>
          <w:b/>
        </w:rPr>
        <w:t xml:space="preserve">Quelle: </w:t>
      </w:r>
      <w:r>
        <w:t>https://mcp.opencaselaw.ch/entscheid/ge_gerichte_A_2867_2020</w:t>
      </w:r>
    </w:p>
    <w:p>
      <w:r>
        <w:t>FR: GE_GERICHTE A/2867/2020 du 19 octobre 2020</w:t>
      </w:r>
    </w:p>
    <w:p>
      <w:r>
        <w:t>IT: GE_GERICHTE A/2867/2020 del 19 ottobre 2020</w:t>
      </w:r>
    </w:p>
    <w:p>
      <w:pPr>
        <w:pStyle w:val="Heading2"/>
      </w:pPr>
      <w:r>
        <w:t>Volltext</w:t>
      </w:r>
    </w:p>
    <w:p>
      <w:r>
        <w:t>Genève Cour de justice (Cour de droit public) Chambre administrative 19.10.2020 A/2867/2020</w:t>
      </w:r>
    </w:p>
    <w:p>
      <w:r>
        <w:t>A/2867/2020 ATA/1043/2020 du 19.10.2020 ( FPUBL ) , REFUSE RÉPUBLIQUE ET CANTON DE GENÈVE POUVOIR JUDICIAIRE A/2867/2020 - FPUBL ATA/1043/2020 COUR DE JUSTICE Chambre administrative Décision du 19 octobre 2020 sur mesures provisionnelles dans la cause Madame A______ représentée par Me Sandro Vecchio, avocat contre TRANSPORTS PUBLICS GENEVOIS représentés par Me Anne Meier, avocat Vu, en fait, la décision, déclarée exécutoire nonobstant recours, du 17 juillet 2020 rendue par les Transports publics genevois (ci-après : TPG) résiliant les rapports de service de Madame A______ pour le 31 octobre 2020, au motif que l'incapacité de travail de celle-ci ne lui permettait plus d'exercer son activité, ce qui n'était pas compatible avec les besoins du service ; vu le recours interjeté le 14 septembre 2020 par Mme A______ auprès de la chambre administrative de la Cour de justice (ci-après : chambre administrative) contre cette décision, dont elle demande que la nullité soit constatée ; les TPG avaient violé leur obligation de tenter de la reclasser ; par ailleurs, elle s'était retrouvée en incapacité de travail en raison du mobbing qu'elle avait subi sur son lieu de travail ; le licenciement qui se fondait sur ladite incapacité était ainsi contraire à la bonne foi ; en outre, elle était apte au télétravail, de sorte que le motif invoqué n'était pas réalisé ; elle demandait sa réintégration, subsidiairement l'octroi d'une indemnité ; qu'à titre préalable, Mme A______ a requis la restitution de l'effet suspensif, au motif que ses intérêts pécuniaires étaient gravement menacés ; par ailleurs, elle a sollicité, par voie de mesures provisionnelles, le paiement de l'intégralité de son salaire d'août à octobre 2020, compte tenu de sa situation financière et personnelle précaire ; qu'invités à se déterminer sur effet suspensif, les TPG ont conclu au rejet de la requête y relative ; la chambre administrative ne pouvait pas ordonner la réintégration, mais uniquement la proposer ; or, les TPG s'opposaient d'ores et déjà à toute réintégration de l'intéressée ; en outre, celle-ci avait épuisé son droit au salaire au mois d'août 2020 ; que dans sa réplique sur effet suspensif, la recourante a contesté avoir épuisé son droit au salaire en cas de maladie et a insisté sur sa capacité de travail, entière pour autant qu'elle pratique le télétravail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ATA/303/2020 du 19 mars 2020 ; ATA/503/2018 du 23 mai 2018)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le statut du personnel du 1 er janvier 1999 (ci-après : SP) auquel la recourante est soumise, prévoit qu'en cas de licenciement ne reposant pas sur un motif fondé, le juge peut proposer la réintégration de l'employé ; si l'entreprise s'y oppose ou celui-ci y renonce, le juge fixe une indemnité (art. 72 ch. 1 SP) ; qu'ainsi, en cas d'admission du recours, la chambre de céans ne pourrait ordonner la réintégration de la recourante, mais uniquement la proposer ; partant, la restitution de l'effet suspensif, qui aurait pour effet de réintégrer la recourante pendant la durée de la procédure, irait au-delà des compétences de la chambre administrative, de sorte qu'elle ne peut l'ordonner ( ATA/641/2020 du 1 er juillet 2020 consid. 7 et 8 ; ATA/303/2020 du 19 mars 2020) ; que, par ailleurs, l'intérêt public à la préservation des finances de l'entité publique intimée, au vu de l'incertitude de la capacité de la recourante à rembourser les trois mois de traitement qu'elle réclame, est important et prime son intérêt financier à percevoir les indemnités pour incapacité de travail, respectivement son salaire pendant le délai de congé ( ATA/303/2020 précité ; ATA/1559/2019 du 21 octobre 2019 ); qu'au vu de ce qui précède, la requête de restitution de l'effet suspensif ainsi que de mesures provisionnelles tendant au versement des salaires d'août à octobre 2020 sera rejetée ; que le sort des frais de la présente décision est réservé jusqu'à droit jugé au fond. * * * LA CHAMBRE ADMINISTRATIVE rejette la requête en restitution de l'effet suspensif et de mesures provisionnelles ; réserve le sort des frais de la présente décision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Sandro Vecchio, avocat de la recourante, ainsi qu'à Me Anne Meier, avocate des Transports publics genevois.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