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A/2856/2011 vom 24. November 2011</w:t>
      </w:r>
    </w:p>
    <w:p>
      <w:r>
        <w:t>GE Cour de justice, 2011-11-24, FR</w:t>
      </w:r>
    </w:p>
    <w:p>
      <w:r>
        <w:rPr>
          <w:b/>
        </w:rPr>
        <w:t xml:space="preserve">Quelle: </w:t>
      </w:r>
      <w:r>
        <w:t>https://mcp.opencaselaw.ch/entscheid/ge_gerichte_A_2856_2011</w:t>
      </w:r>
    </w:p>
    <w:p>
      <w:r>
        <w:t>FR: GE_GERICHTE A/2856/2011 du 24 novembre 2011</w:t>
      </w:r>
    </w:p>
    <w:p>
      <w:r>
        <w:t>IT: GE_GERICHTE A/2856/2011 del 24 novembre 2011</w:t>
      </w:r>
    </w:p>
    <w:p>
      <w:pPr>
        <w:pStyle w:val="Heading2"/>
      </w:pPr>
      <w:r>
        <w:t>Volltext</w:t>
      </w:r>
    </w:p>
    <w:p>
      <w:r>
        <w:t>Genève Cour de justice (Cour de droit public) Chambre des assurances sociales 24.11.2011 A/2856/2011</w:t>
      </w:r>
    </w:p>
    <w:p>
      <w:r>
        <w:t>A/2856/2011 ATAS/1112/2011 du 24.11.2011 ( LAA ) , REJETE En fait En droit RÉPUBLIQUE ET CANTON DE GENÈVE POUVOIR JUDICIAIRE A/2856/2011 ATAS/1112/2011 COUR DE JUSTICE Chambre des assurances sociales Arrêt du 24 novembre 2011 3ème Chambre En la cause Monsieur M___________, domicilié au Grand-Saconnex recourant contre AXA ASSURANCES SA, WINTERTHUR, repr. AXA WINTERTHUR, secteur marché Suisse Romande, chemin de Primerose 11, 1002 Lausanne, intimée EN FAIT Monsieur M___________ travaille en qualité de vendeur auprès de X___________ et est assuré à ce titre contre le risque d'accidents auprès d'AXA WINTERTHUR (ci-après l'assureur). Le 18 mai 2009, l'assuré a été victime d'un accident : alors qu'il tentait de réparer une machine, sa main gauche s'est prise dans le mécanisme, entraînant une amputation complète (trans P3) du troisième doigt, une amputation complète (trans IPD) au quatrième doigt et une amputation transpulpaire (trois-quarts de la pulpe) au cinquième doigt. Le cas a été pris en charge par l'assureur. Malgré plusieurs interventions, l'accident a laissé des séquelles puisque l'assuré souffre toujours de douleurs à l'appui, localisées au niveau de la pulpe des troisième et cinquième doigts, et d’une sensibilité au contact avec diminution des récupérations nerveuses périphériques. Par ailleurs, la mobilité des doigts touchés est également touchée. Par décision du 26 mai 2011, se fondant sur l'avis de son médecin-conseil, l'assureur a reconnu à l'assuré le droit à une indemnité pour atteinte à l'intégrité (IPAI) de 5 %, correspondant à 6'300 fr. Le 22 juin 2011, l'assuré s'est opposé à cette décision en expliquant qu'il ne contestait pas d'un point de vue objectif le taux retenu mais qu'il demandait qu'il soit également tenu compte, subjectivement, de ses difficultés quotidiennes et de sa souffrance morale. Par décision sur opposition du 14 juillet 2011, l'assureur a confirmé sa décision du 26 mai 2011. Il a souligné le caractère objectif de l'indemnisation, dont il a expliqué qu'elle est uniquement fonction de la gravité de l'atteinte après constatations médicales et non de la manière dont elle est vécue par l'assuré. Par écriture du 9 septembre 2011 adressée à l'assureur, l'assuré a contesté cette décision en alléguant que son médecin traitant évaluait quant à lui l’atteinte à son intégrité physique à 10%. L’assuré a au surplus demandé à être examiné par le médecin-conseil de l'assurance. Ce courrier a été transféré à la Cour de céans comme objet de sa compétence. Invité à se déterminer, l'assureur, dans sa réponse du 7 octobre 2010, a conclu au rejet du recours en se référant à l'avis de son médecin-conseil, le Dr A___________ et en expliquant que ce dernier avait analysé soigneusement les données très complètes figurant au dossier de l'assuré, notamment les nombreux rapports du médecin traitant, le Dr B___________, et les photos produites par ce dernier. L’'importance des séquelles avait été évaluée à l'aune de la table 3.5 de la CAISSE NATIONALE SUISSE D’ASSURANCE EN CAS D’ACCIDENTS (Schweizerische Unfallversicherungsanstalt ; SUVA) à 5 % maximum. L'assureur a relevé qu'aucun argument scientifique n'était avancé pour remettre en question cette évaluation. Une audience de comparution personnelle s'est tenue ce jour, lors de laquelle le recourant a expliqué qu’il déplorait que les conséquences subjectives de son atteinte ne puissent être prises en compte. Le recourant a souligné qu’outre son quatrième doigt, ses troisième et cinquième doigts sont également touchés (perte de sensibilité du majeur et sensibilité extrême de l’auriculaire) et que cela se traduit au quotidien par une foule de petites gênes. L’assureur a quant à lui souligné que son médecin-conseil a tenu compte de la perte de sensibilité évoquée par le recourant, expliquant que si seule l’amputation partielle du quatrième doigt avait été prise en considération, le taux de 5% n’aurait pu être retenu. EN DROIT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La compétence de la Cour de céans pour juger du cas d’espèce est ainsi établie. La LPGA est entrée en vigueur le 1 er janvier 2003, entraînant la modification de nombreuses dispositions légales dans le domaine de l'assurance-accidents. Conformément au principe selon lequel les règles applicables sont celles en vigueur au moment où les faits juridiquement déterminants se sont produits (ATF 130 V 446 consid. 1.2.1, 127 V 467 consid. 1, 126 V 165 consid. 4b), le droit litigieux doit donc être examiné à l'aune des dispositions de la nouvelle législation. Il convient en outre de relever que les dispositions de la LPGA n'ont pas modifié les notions d'accident et d'invalidité (notamment) selon l'ancienne LAA et la jurisprudence du Tribunal fédéral y relative est toujours d'actualité. Enfin, en ce qui concerne la procédure et à défaut de règles transitoires contraires, le nouveau droit s'applique sans réserve dès le jour de son entrée en vigueur (ATF 117 V 93 consid. 6b, 112 V 360 consid. 4a; RAMA 1998 KV 37 p. 316 consid. 3b). Interjeté dans les forme et délai légaux (art. 106 LAA dans sa teneur en vigueur depuis le 1 er janvier 2003, en dérogation à l’art. 60 LPGA), le recours est recevable. Le litige porte uniquement sur la question de savoir si le taux de l’indemnité pour atteinte à l’intégrité accordée à l’assuré suite à son accident peut être augmenté au-delà de 5% comme il le demande, pour tenir compte des conséquences subjectives de l’évènement sur son quotidien. Aux termes de l'art. 6 al. 1 LAA, si la loi n'en dispose pas autrement, les prestations d'assurance sont allouées en cas d'accident professionnel, d'accident non professionnel et de maladie professionnelle. Selon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 ère phrase); elle ne doit pas excéder le montant maximum du gain annuel assuré à l'époque de l'accident et elle est échelonnée selon la gravité de l'atteinte à l'intégrité (al. 1, 2 ème phrase). Le Conseil fédéral édicte des prescriptions détaillées sur le calcul de l'indemnité (al. 2). Selon l’art. 36 OLAA édicté conformément à la délégation de compétence de l’art. 25 al. 2 LAA, une atteinte à l'intégrité est réputée durable lorsqu'il est prévisible qu'elle subsistera avec au moins la même gravité pendant toute la vie (al. 1, 1 ère phrase); elle est réputée importante lorsque l'intégrité physique ou mentale subit, indépendamment de la diminution de la capacité de gain, une altération évidente ou grave (al. 1, 2 ème phrase). L’indemnité pour atteinte à l'intégrité est calculée selon les directives figurant à l'annexe 3 à l'OLAA (al. 2). Il sera équitablement tenu compte des aggravations prévisibles de l'atteinte à l'intégrité. Une révision (du droit à l'indemnité) n'est possible qu'en cas exceptionnel, si l'aggravation est importante et n'était pas prévisible (al. 4). De jurisprudence constante, la règle contenue à la première phrase de l’art. 36 al. 4 OLAA ne vise toutefois que les aggravations dont la survenance est vraisemblable et l'importance quantifiable (RAMA 1998 n° U 320 p. 602 consid. 3b). L'annexe 3 à l'OLAA comporte un barème des atteintes à l'intégrité en pour cent du montant maximum du gain assuré. Ce barème - reconnu conforme à la loi - ne constitue pas une énumération exhaustive (ATF 124 V 32 consid. 1b, 210 consid. 4a/bb et les références). Il représente une «règle générale» (ch. 1 al. 1 de l'annexe). Pour les atteintes à l'intégrité spéciales ou qui ne figurent pas dans la liste, le barème est appliqué par analogie, en fonction de la gravité de l'atteinte (ch. 1 al. 2). La Division médicale de la SUVA a établi plusieurs tables d'indemnisation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124 V 209 , consid. 4 a/cc et 116 V 157 consid. 3a).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158 consid. 1b; ATFA non publié du 13 octobre 2004, U 345/03, consid. 3.2).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ATFA non publié I 592/99du 13 mars 2000). En l’espèce, les constatations du médecin conseil de l’intimée ne sont pas contestées. Il n’y a donc pas lieu d’ordonner une mesure d’instruction complémentaire sous forme d’examen du recourant par le médecin-conseil dans la mesure où le dossier fourni par le médecin traitant est fort complet et a permis au médecin conseil de se forger une opinion dont il n’est pas allégué qu’elle soit erronée. On relèvera en particulier que le Dr A___________, dans son avis du 21 avril 2011, a bien pris en compte les dysesthésies de contact aux pulpes des troisième et cinquième doigts, l’enraidissement du troisième et le déficit d’extension des quatrième et cinquième. C’est précisément pour prendre en compte tous ces éléments que le médecin conseil de l’intimée a admis un taux d’atteinte de 5% bien qu’en vertu de la table 3.5 de la SUVA, un tel taux ne soit admis qu’en cas d’imputation touchant deux doigts. Le médecin a en outre expliqué les raisons pour lesquelles il ne pouvait retenir un taux de 10%, celui-ci correspondant à des mutilations beaucoup plus sévères. Enfin, on rappellera qu’il résulte de l’art. 25 al. 1 LAA que l’indemnité pour atteinte à l’intégrité est fixée en fonction de la gravité de l’atteinte. Celle-ci s’apprécie d’après les constatations médicales. C’est dire que chez tous les assurés présentant le même status médical, l’atteinte à l’intégrité est la même; elle est évaluée en effet de manière abstraite, égale pour tous. En cela, l’indemnité pour atteinte à l’intégrité de l’assurance-accidents se distingue donc de l’indemnité pour tort moral du droit civil, qui procède de l’estimation individuelle d’un dommage immatériel au regard des circonstances particulières du cas.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113 V 221 consid. 4b, et les références; voir aussi ATF 125 II 175 consid. 2d). Eu égard à ce qui précède, c’est donc à juste titre que l’intimée a fixé le taux de l’indemnité reconnue à l’assuré à 5% dans le cas présent. Le recours est donc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