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A/2854/2012 vom 5. November 2012</w:t>
      </w:r>
    </w:p>
    <w:p>
      <w:r>
        <w:t>GE Cour de justice, 2012-11-05, FR</w:t>
      </w:r>
    </w:p>
    <w:p>
      <w:r>
        <w:rPr>
          <w:b/>
        </w:rPr>
        <w:t xml:space="preserve">Quelle: </w:t>
      </w:r>
      <w:r>
        <w:t>https://mcp.opencaselaw.ch/entscheid/ge_gerichte_A_2854_2012</w:t>
      </w:r>
    </w:p>
    <w:p>
      <w:r>
        <w:t>FR: GE_GERICHTE A/2854/2012 du 5 novembre 2012</w:t>
      </w:r>
    </w:p>
    <w:p>
      <w:r>
        <w:t>IT: GE_GERICHTE A/2854/2012 del 5 novembre 2012</w:t>
      </w:r>
    </w:p>
    <w:p>
      <w:pPr>
        <w:pStyle w:val="Heading2"/>
      </w:pPr>
      <w:r>
        <w:t>Erwägungen</w:t>
      </w:r>
    </w:p>
    <w:p>
      <w:r>
        <w:rPr>
          <w:b/>
        </w:rPr>
        <w:t>E. 6</w:t>
      </w:r>
    </w:p>
    <w:p>
      <w:r>
        <w:t>août 2012, l'oubli n'était pas une excuse valable mais le retard de quatre jours était relativement léger. Par acte du 19 septembre 2012, l'assurée a fait recours contre ladite décision. Elle demande que la sanction soit réexaminée. Elle explique que sa conseillère lui avait demandé d'envoyer plus tard dans le mois son formulaire de preuves d'offres de services. Elle a oublié le formulaire dans un dossier. Elle travaillait à 30% durant le mois de juillet 2012 et elle a poursuivi ses recherches en août. La suspension de trois jours de droit à l'indemnité est importante compte tenu de sa situation familiale en tant que mère de trois enfants et divorcée. Le 2 octobre 2012, l'intimé, constatant l'absence d'élément nouveau, a persisté dans les termes de sa décision sur opposition. Ce courrier a été transmis à la recourante et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dans les formes et délai prévus par la loi, le recours est recevable (art. 56 et 60 LPGA). Le litige porte sur la suspension du droit à l’indemnité de chômage de la recourante pour une durée de trois jours.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 L’art. 26 de l’ordonnance du 31 août 1983 sur l’assurance-chômage obligatoire et l’indemnité en cas d’insolvabilité (OACI) dans sa teneur en vigueur dès le 1 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 er avril 2011 des modifications de la LACI, l'alinéa 2bis a été abrogé, de sorte que si l'assuré ne remet pas ses recherches dans ce délai, l’office compétent ne lui impartit plus un délai raisonnable pour le faire. Selon l'art. 30 al. 3 LACI, la durée de la suspension est proportionnelle à la gravité de la faute. En vertu de l'art. 45 al. 3 OACI, elle est de 1 à 15 jours en cas de faute légère, de 16 à 30 jours en cas de faute de gravité moyenne et de 31 à 60 jours en cas de faute grave.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8C_183/2008 du 27 juin 2008 consid. 3).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Toutefois, ainsi que l’a jugé le Tribunal fédéral, cela ne signifie pas encore qu'une sanction identique doit s'imposer lorsque l'assuré ne fait aucune recherche d'emploi ou lorsqu'il produit ses recherches après le délai, surtout s'il s'agit d'un léger retard qui a lieu pour la première fois pendant la période de contrôle (cf. ATF du 14 juin 2012 8C_2/2012 ).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En l'espèce, la recourante n'ayant pas remis son formulaire dans le délai légal ses recherches de juillet 2012 ne peuvent plus être prises en compte (art. 26 al. 2 OACI). Cela étant, la Cour de céans constate que la recourante accuse d'un bref retard de quatre jours pour la remise du formulaire de preuves de ses neuf recherches du mois de juillet 2012, ce qui constitue un premier manquement depuis le début de son délai-cadre; en effet son formulaire de recherches a toujours été remis suffisamment tôt par le passé; par ailleurs ses recherches, nombreuses et de qualité, ont mené à l'obtention d'un emploi à 30%. Compte tenu de ce qui précède, la Cour considère que la faute de la recourante est légère et que la suspension de trois jours de son droit à l'indemnité ne respecte pas le principe de la proportionnalité. Il convient par conséquent de s'écarter du barème du SECO et de réduire la sanction à un jour de suspension, ce qui est conforme à l'art. 45 al. 3 OACI. Au vu de ce qui précède, le recours est partiellement admis et la décision du 18 septembre 2012 est réformée en ce sens que la sanction est limitée à un jour de suspension du droit à l'indemnité de chômage de la recourante. PAR CES MOTIFS, LA CHAMBRE DES ASSURANCES SOCIALES : Statuant A la forme : Déclare le recours recevable. Au fond : L'admet partiellement. Réforme la décision du 18 septembre 2012 en ce sens que la suspension du droit à l'indemnité de chômage de la recourante est réduite à un jour.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