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A/2853/2011 vom 23. Mai 2012</w:t>
      </w:r>
    </w:p>
    <w:p>
      <w:r>
        <w:t>GE Cour de justice, 2012-05-23, FR</w:t>
      </w:r>
    </w:p>
    <w:p>
      <w:r>
        <w:rPr>
          <w:b/>
        </w:rPr>
        <w:t xml:space="preserve">Quelle: </w:t>
      </w:r>
      <w:r>
        <w:t>https://mcp.opencaselaw.ch/entscheid/ge_gerichte_A_2853_2011</w:t>
      </w:r>
    </w:p>
    <w:p>
      <w:r>
        <w:t>FR: GE_GERICHTE A/2853/2011 du 23 mai 2012</w:t>
      </w:r>
    </w:p>
    <w:p>
      <w:r>
        <w:t>IT: GE_GERICHTE A/2853/2011 del 23 maggio 2012</w:t>
      </w:r>
    </w:p>
    <w:p>
      <w:pPr>
        <w:pStyle w:val="Heading2"/>
      </w:pPr>
      <w:r>
        <w:t>Erwägungen</w:t>
      </w:r>
    </w:p>
    <w:p>
      <w:r>
        <w:rPr>
          <w:b/>
        </w:rPr>
        <w:t>E. 5</w:t>
      </w:r>
    </w:p>
    <w:p>
      <w:r>
        <w:t>ème Chambre En la cause Monsieur F___________, domicilié à Genève Madame F___________, domiciliée à Plan-les-Ouates demandeurs contre FONDATION DE PREVOYANCE "PACT", sise rue de Malatrex 14, 1201 GENEVE C.P.P.I.C. CAISSE PARITAIRE PREVOYANCE DE L'INDUSTRIE &amp; CONSTR., sise rue de Malatrex 14, 1201 GENEVE défenderesses EN FAIT Par jugement du 30 juin 2011, la 18 ème chambre du Tribunal de première instance a prononcé le divorce de Madame F___________, née en 1977, et Monsieur F___________, né en 1970, mariés en date du 16 février 1996. Selon le chiffre 9 du jugement précité, le Tribunal de première instance a donné acte aux ex-époux de ce qu'ils avaient convenu de se partager par moitié des avoirs de prévoyance professionnelle acquis durant le mariage. Le jugement de divorce est devenu définitif le 9 septembre 2011 et a été transmis d'office à la Cour de céans le 20 septembre 2011 pour exécution du partage. La Cour de céans a sollicité des ex-époux le nom de leurs institutions de prévoyance, puis a interpellé les institutions défenderesses en les priant de lui communiquer les montants des avoirs LPP des demandeurs acquis durant le mariage, soit entre le 16 février 1996 et le 9 septembre 2011. Par courriers des 14 octobre et 2 décembre 2011, la FONDATION DE PREVOYANCE PACT a informé la Cour de céans que la demanderesse bénéficiait d’une prestation de libre passage de 2'011 fr. Selon le courrier de la CAISSE PARITAIRE DE PREVOYANCE DE L’INDUSTRIE ET DE LA CONSTRUCTION du 14 octobre 2011, la prestation acquise pendant le mariage par le demandeur est de 83'829 fr. 35. Le 17 avril 2012, la Cour de céans a communiqué aux ex-époux sur quelle base elle procédera au partage de leurs prestations de sortie.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donné acte aux ex-époux de leur accord de partager par moitié leurs prestations de sortie acquises durant le mariage. Les dates pertinentes sont, d’une part, celle du mariage, le 16 février 1996, d’autre part le 9 septembre 2011, date à laquelle le jugement de divorce est devenu exécutoire. Selon les documents produits, la prestation acquise pendant le mariage par le demandeur est de 83'829 fr. 35 tandis que celle acquise par la demanderesse est de 2'011 fr. Ainsi le demandeur doit à son ex-épouse le montant de 41'914 fr. 70 (83'829 fr. 35 : 2) et celle-ci lui doit le montant de 1'005 fr. 50 (2'011 : 2), de sorte que c’est le demandeur qui doit à son ex-épouse le montant de 40'909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PARITAIRE DE PREVOYANCE DE L’INDUSTRIE ET DE LA CONSTRUCTION à transférer, du compte de Monsieur F___________, AVS n° __________, la somme de 40'909 fr. 20 à la FONDATION DE PREVOYANCE PACT en faveur de Madame F___________, AVS n° ___________ des intérêts compensatoires au sens des considérants, dès le 9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