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A/2845/2008 vom 18. September 2008</w:t>
      </w:r>
    </w:p>
    <w:p>
      <w:r>
        <w:t>GE Cour de justice, 2008-09-18, FR</w:t>
      </w:r>
    </w:p>
    <w:p>
      <w:r>
        <w:rPr>
          <w:b/>
        </w:rPr>
        <w:t xml:space="preserve">Quelle: </w:t>
      </w:r>
      <w:r>
        <w:t>https://mcp.opencaselaw.ch/entscheid/ge_gerichte_A_2845_2008</w:t>
      </w:r>
    </w:p>
    <w:p>
      <w:r>
        <w:t>FR: GE_GERICHTE A/2845/2008 du 18 septembre 2008</w:t>
      </w:r>
    </w:p>
    <w:p>
      <w:r>
        <w:t>IT: GE_GERICHTE A/2845/2008 del 18 settembre 2008</w:t>
      </w:r>
    </w:p>
    <w:p>
      <w:pPr>
        <w:pStyle w:val="Heading2"/>
      </w:pPr>
      <w:r>
        <w:t>Regeste</w:t>
      </w:r>
    </w:p>
    <w:p>
      <w:r>
        <w:t>Devoir d'investigation. Minimum vital. Frais de garde. | L'Office a correctement calculé le minimum vital du poursuivi. | LP.89; LP.93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La plainte doit en conséquence être rejetée. * * * * * PAR CES MOTIFS, LA COMMISSION DE SURVEILLANCE SIÉGEANT EN SECTION : A la forme : Déclare recevable la plainte formée le 4 août 2008 par M. M______ contre le procès-verbal de saisie, série n° 08 xxxx67 V . Au fond : 1. La rejette dans la mesure où elle n’a pas perdu son objet en cours de procédure. 2. Déboute les parties de toutes autres conclusions. Siégeant : Mme Ariane WEYENETH, présidente ; M. Denis MATHEY, juge assesseur, et M. Yves DE COULON, juge assesseur suppléant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