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A/2844/2025 vom 2. Dezember 2025</w:t>
      </w:r>
    </w:p>
    <w:p>
      <w:r>
        <w:t>GE Cour de justice, 2025-12-02, FR</w:t>
      </w:r>
    </w:p>
    <w:p>
      <w:r>
        <w:rPr>
          <w:b/>
        </w:rPr>
        <w:t xml:space="preserve">Quelle: </w:t>
      </w:r>
      <w:r>
        <w:t>https://mcp.opencaselaw.ch/entscheid/ge_gerichte_A_2844_2025</w:t>
      </w:r>
    </w:p>
    <w:p>
      <w:r>
        <w:t>FR: GE_GERICHTE A/2844/2025 du 2 décembre 2025</w:t>
      </w:r>
    </w:p>
    <w:p>
      <w:r>
        <w:t>IT: GE_GERICHTE A/2844/2025 del 2 dicembre 2025</w:t>
      </w:r>
    </w:p>
    <w:p>
      <w:pPr>
        <w:pStyle w:val="Heading2"/>
      </w:pPr>
      <w:r>
        <w:t>Erwägungen</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 re phr. LPA). Les décisions sont notifiées aux parties, le cas échéant à leur domicile élu auprès de leur mandataire, par écrit (art. 46 al. 2 1re phr. LPA).</w:t>
      </w:r>
    </w:p>
    <w:p>
      <w:r>
        <w:rPr>
          <w:b/>
        </w:rPr>
        <w:t>E. 2.2</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w:t>
      </w:r>
    </w:p>
    <w:p>
      <w:r>
        <w:rPr>
          <w:b/>
        </w:rPr>
        <w:t>E. 2.3</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w:t>
      </w:r>
    </w:p>
    <w:p>
      <w:r>
        <w:rPr>
          <w:b/>
        </w:rPr>
        <w:t>E. 2.4</w:t>
      </w:r>
    </w:p>
    <w:p>
      <w:r>
        <w:t>L'art. 29a de la Constitution fédérale de la Confédération suisse du 18 avril 1999 (Cst. - RS 101)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w:t>
      </w:r>
    </w:p>
    <w:p>
      <w:r>
        <w:rPr>
          <w:b/>
        </w:rPr>
        <w:t>E. 2.5</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ATA/1267/2025 du 11 novembre 2025 consid. 3.1 ; ATA/1191/2025 du 28 octobre 2025 consid. 2.5).</w:t>
      </w:r>
    </w:p>
    <w:p>
      <w:r>
        <w:rPr>
          <w:b/>
        </w:rPr>
        <w:t>E. 2.6</w:t>
      </w:r>
    </w:p>
    <w:p>
      <w:r>
        <w:t>En l’espèce, le jugement attaqué a été notifié au recourant, qui a reçu ledit jugement le lundi 6 octobre 2025. Le délai légal de recours de 30 jours a donc commencé à courir le lendemain, soit le mardi 7 octobre 2025, et est arrivé à échéance le mercredi 5 novembre 2025. Le recours, expédié au plus tôt le 18 novembre 2025, est ainsi tardif. Le recourant a certes expliqué qu'il n'avait pris connaissance du jugement que le 17 novembre 2025, ayant été en déplacement professionnel. Un tel déplacement, dont il n'allègue pas qu'il était imprévisible, ne constitue toutefois aucunement un cas de force majeure au sens de l’art. 16 LPA qui l’aurait empêché de déposer son acte de recours en temps voulu. Le recours sera ainsi déclaré irrecevable.</w:t>
      </w:r>
    </w:p>
    <w:p>
      <w:r>
        <w:rPr>
          <w:b/>
        </w:rPr>
        <w:t>E. 3</w:t>
      </w:r>
    </w:p>
    <w:p>
      <w:r>
        <w:t>Vu l’issue du litige, un émolument de CHF 200.-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