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A/2841/2013 vom 29. September 2015</w:t>
      </w:r>
    </w:p>
    <w:p>
      <w:r>
        <w:t>GE Cour de justice, 2015-09-29, FR</w:t>
      </w:r>
    </w:p>
    <w:p>
      <w:r>
        <w:rPr>
          <w:b/>
        </w:rPr>
        <w:t xml:space="preserve">Quelle: </w:t>
      </w:r>
      <w:r>
        <w:t>https://mcp.opencaselaw.ch/entscheid/ge_gerichte_A_2841_2013</w:t>
      </w:r>
    </w:p>
    <w:p>
      <w:r>
        <w:t>FR: GE_GERICHTE A/2841/2013 du 29 septembre 2015</w:t>
      </w:r>
    </w:p>
    <w:p>
      <w:r>
        <w:t>IT: GE_GERICHTE A/2841/2013 del 29 settembre 2015</w:t>
      </w:r>
    </w:p>
    <w:p>
      <w:pPr>
        <w:pStyle w:val="Heading2"/>
      </w:pPr>
      <w:r>
        <w:t>Erwägungen</w:t>
      </w:r>
    </w:p>
    <w:p>
      <w:r>
        <w:rPr>
          <w:b/>
        </w:rPr>
        <w:t>E. 2</w:t>
      </w:r>
    </w:p>
    <w:p>
      <w:r>
        <w:t>comprenant deux grandes chambres à coucher, attestant qu’elle l’hébergerait à compter du samedi 28 mars 2015.![endif]&gt;![if&gt; 26) Une audience s’est tenue le 27 mars 2015 devant le juge délégué de la chambre administrative.![endif]&gt;![if&gt; a. M. A______ a déclaré que s’agissant de son audition le 26 juin 2012 par la police, il avait rechuté en consommant de la cocaïne depuis trois semaines alors qu’il était suivi par une institution médicale. Depuis lors, il n’avait plus rechuté. Il était totalement abstinent à la drogue (dure et douce) et à l’alcool. Il fumait des cigarettes. Il faisait tous les deux mois environ un test urinaire concernant toutes les drogues et l’alcool, lesquels étaient les causes de toutes les « bêtises » qu’il avait commises. Il ne suivait pas de traitement actuellement, et n’avait pas été suivi médicalement depuis le 3 février 2012. Il regrettait beaucoup les actes délictueux qu’il avait commis par le passé. À l’époque, il était toxicomane et ne se rendait pas compte de ses actes. Actuellement, il ne voyait pas la nécessité d’un traitement médical, mais serait d’accord de s’y soumettre si les autorités le lui demandaient. Pour éviter une rechute dans l’addiction à l’alcool ou drogue, il ne voyait plus ses anciens amis ni n’allait dans des bars ou discothèques. Sa seule relation était son ami, M. E______, quelqu’un de droit, qu’il voyait très régulièrement, presque tous les week-ends, avec sa famille. Il voyait aussi régulièrement son père qui avait de graves problèmes de santé, qui était souvent hospitalisé et qu’il aidait, notamment en l’aidant à porter des charges lourdes telles que des bouteilles d’eau. Mme C______ et lui-même s’étaient séparés début mars 2015. Contrairement à autrefois où il était agressif ou jaloux en cas de séparation, leur séparation s’était passée normalement, sans problème. Sa relation affective avec elle lui avait apporté une certaine stabilité psychique et sociale. Ils étaient restés très bons amis et la séparation était quelque chose qui pouvait arriver de manière normale. Contrairement à autrefois, il n’avait pas bu d’alcool après la séparation. M. A______ emménagerait ces prochains jours chez Mme D______, fille de la compagne de son père et qu’il considérait comme sa demi-sœur. Il n’avait pas pu obtenir un appartement vu l’absence de permis. À terme, il souhaiterait avoir un appartement. L’intimé a par ailleurs notamment produit une attestation non datée de son père, soutenant le maintien de son autorisation d’établissement en Suisse, ainsi que des analyses médicales du 23 mars 2015 attestant son abstinence aux stupéfiants, à l'alcool et au tabac. b. Selon Mme C______, entendue en qualité de témoin, la cohabitation avec M. A______ s’était bien passée. Mais avec le temps, ils s’étaient tous deux rendus compte qu’ils étaient très bien en tant qu’amis mais pas plus. Ils s’étaient séparés au début de ce mois. Ils s’étaient mis d’accord les deux et il n’y avait donc pas eu de soucis. Ils étaient restés amis. Elle avait remarqué une évolution en bien chez M. A______. En effet, il l’avait plus aidée pour les tâches ménagères qu’au début de leur relation. Elle n’avait jamais remarqué chez lui un comportement agressif ou possessif, ne l’avait jamais vu consommer de l’alcool ou des drogues, même douces et n’avait jamais eu l’impression qu’il en consommait. c. M. E______, également entendu comme témoin, a déclaré avoir vu une évolution très positive chez M. A______, ami d’enfance. Celui-ci avait radicalement changé. Il n’était plus le même, depuis sa sortie de prison. Depuis qu’il était totalement abstinent, il était beaucoup plus posé, plus réfléchi quitte à demander conseil à un proche sur un questionnement, et n’avait plus des pulsions dues à sa dépendance à la drogue et à l’alcool. Il était aussi très travailleur. Il avait pour objectif de réussir dans sa vie professionnelle et de fonder une famille avec des enfants, objectifs qu’il avait avec enthousiasme et qui l’aidait beaucoup moralement. Parfois, M. A______ et lui-même parlaient de sa mauvaise conduite passée. Il la regrettait amèrement. Par rapport à la consommation de drogues ou d’alcool, l’intéressé n’y pensait même plus. Par exemple, au restaurant, il ne songeait même pas à prendre un verre d’alcool, ni de vin, mais choisissait automatiquement une boisson non alcoolisée. Cette abstinence était solide selon le témoin. 27) Par lettre du 10 avril 2015, le département a fait savoir à la chambre administrative qu’il s’opposait à une suspension de la procédure, dont la possibilité avait été évoquée lors de l’audience du 27 mars 2015.![endif]&gt;![if&gt; 28) Dans ses observations après enquêtes des 2 juin et 9 juillet 2015, M. A______ a persisté dans ses conclusions.![endif]&gt;![if&gt; Le SAPEM l’avait, par lettre du 9 avril 2015, rappelé à son obligation de suivi thérapeutique, alors qu’il croyait que celle-ci avait cessé à la suite du jugement du TAPEM du 24 janvier 2011. L’intimé avait immédiatement cherché un thérapeute, qu’il avait trouvé en la personne du Dr F______, médecin interne au sein du service d’addictologie des HUG. À teneur de l’attestation de suivi de celui-ci du 16 juin 2015, M. A______ s’était présenté à la consultation les 28 avril, 11 et 26 mai 2015, ce à quoi s’ajoutait une consultation téléphonique le 9 juin 2015. En outre, des analyses médicales du 16 juin 2015 attestaient son abstinence aux stupéfiants, à l'alcool et au tabac. M. A______ a demandé que la procédure soit suspendue jusqu’à réception du rapport médical qui se déterminerait sur le besoin d’une poursuite ou non d’un suivi dans le futur ainsi que sur son évolution depuis sa libération. 29) Le DSE n’a pas présenté d’observations.![endif]&gt;![if&gt; 30) Par lettre du 14 juillet 2015, le juge délégué a informé les parties de ce que la cause était gardée à juger.![endif]&gt;![if&gt; 31)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dispositif du jugement querellé se contente d’admettre le recours. À la lumière de ses considérants, on comprend toutefois sans aucune ambigüité que le TAPI annule la décision du département du 31 juillet 2013 et lui renvoie le dossier afin qu’il tire les conséquences de l’annulation de la révocation de l’autorisation d’établissement de l’intimé et lui fournisse donc les documents attestant le maintien de ladite autorisation.![endif]&gt;![if&gt; On ne voit néanmoins pas quelle marge de manœuvre aurait encore le département recourant, l’annulation de la révocation impliquant le maintien de l’autorisation d’établissement, qui est octroyée pour une durée indéterminée et sans conditions (art. 34 al. 1 LEtr), sans qu’il y ait besoin de statuer par une nouvelle décision. 3) Vu l’issue ci-après du recours et le fait que le juge délégué de la chambre de céans a entendu l’intimé et deux témoins le connaissant bien, il n’apparaît pas nécessaire de suspendre, que ce soit en application de l’art. 14 al. 1 ou 78 LPA, la présente procédure jusqu’à la production du rapport intermédiaire ou final du Dr F______, dont on ignore la date à laquelle il pourrait être rendu.![endif]&gt;![if&gt; 4) Aux termes de l’art. 63 al. 1 LEtr, l’autorisation d’établissement (art. 34 LEtr) ne peut être révoquée que dans les cas suivants : ![endif]&gt;![if&gt; -          l’étranger ou son représentant légal a fait de fausses déclarations ou a dissimulé des faits essentiels durant la procédure d’autorisation (art. 63 al. 1 let. a cum 62 let. a LEtr) ;![endif]&gt;![if&gt; -          l’étranger a été condamné à une peine privative de liberté de longue durée ou a fait l’objet d’une mesure pénale prévue aux art. 61 ou 64 CP (art. 63 al. 1 let. a cum 62 let. b LEtr) ;![endif]&gt;![if&gt; -          l’étranger attente de manière très grave à la sécurité et l’ordre publics en Suisse ou à l’étranger, les met en danger ou représente une menace pour la sécurité intérieure ou extérieure de la Suisse (art. 63 al. 1 let. b LEtr) ;![endif]&gt;![if&gt; -          lui-même ou une personne dont il a la charge dépend durablement et dans une large mesure de l’aide sociale (art. 63 al. 1 let. c LEtr).![endif]&gt;![if&gt; À teneur de l’al. 2 de l’art. 63 LEtr, l’autorisation d’établissement d’un étranger qui séjourne en Suisse légalement et sans interruption depuis plus de quinze ans ne peut être révoquée que pour les motifs mentionnés à l’al. 1 let. b et à l’art. 62 let. b. 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 5) a.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2.1).![endif]&gt;![if&gt; 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b. En l'espèce, il est incontesté - et incontestable - qu’au regard de la très grande gravité des actes à cause desquels l’intimé a été condamné à trente mois de peine privative de liberté le 18 octobre 2010 par la chambre pénale, de même qu’au regard des autres condamnations, celui-ci remplit les conditions de révocation de l'art. 63 al. 1 let. b LEtr, en lien avec l’art. 62 let. b LEtr. 6) a. 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4.1).![endif]&gt;![if&gt;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consid. 5.3).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La durée de présence en Suisse d'un étranger constitue un autre critère très important. Plus cette durée est longue, plus les conditions pour prononcer l'expulsion administrative doivent être appréciées restrictivement (arrêt du Tribunal fédéral 2C_789/2014 du 20 février 2015 consid. 5.3 ; ATF 135 II 377 consid. 4.4 et 4.5).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de la Cour européenne des droits de l'homme [ci-après: CourEDH] Trabelsi c. Allemagne du 13 octobre 2011). b. Dans le cas présent, compte tenu de la réitération d’infractions commises entre 1999 et le mois de mai 2011 et de la gravité particulière de celles qui ont donné lieu à l’arrêt de la chambre pénale du 18 octobre 2010, notamment l’inceste et le délit manqué d’actes d’ordres sexuel avec un enfant, le recourant a un intérêt digne de protection à l’éloignement de l’intimé. L’intérêt privé de l’intéressé à demeurer en Suisse est également important. Celui-ci a en effet toujours vécu à Genève, où il est né et y a tous ses proches, à savoir essentiellement son père et la famille de la compagne de celui-ci, ainsi que les deux témoins entendus par le juge délégué. L’intimé, au bénéfice d’un emploi stable, est en outre bien intégré professionnellement dans le canton de Genève. Dans ces circonstances, son renvoi au Chili constituerait un déchirement douloureux ainsi que, comme le TAPI l’a retenu, un exil dans un pays avec lequel il n'a pas le moindre lien, si ce n'est la nationalité et une grand-mère de 80 ans qu'il n'a jamais rencontrée. Partant, les conditions pour prononcer la révocation de l’autorisation d’établissement doivent être appréciées avec une retenue particulière. À la lumière des pièces du dossier attestant des efforts de réintégration et des auditions entreprises par le juge délégué, la chambre administrative retient qu’à tout le moins depuis le début de l’année 2013, l’intimé a accompli un important travail sur lui-même, afin notamment de contenir ses pulsions, et a arrêté sa consommation de stupéfiants et d’alcool, qui l’avait conduit par le passé à commettre des infractions. L’intéressé regrette ses actes passés et apparaît résolu à ne plus retomber dans la drogue, l’alcool et la délinquance. À la demande du SAPEM du 9 avril 2015, il a immédiatement repris des consultations médicales contre l’addiction. Au regard de ces circonstances tout particulières, notamment de la prise de conscience et du changement de l’intéressé, c’est à juste titre que le TAPI a fait primer son intérêt privé sur l’intérêt public à son éloignement de Suisse, admis le recours de M. A______ et annulé la révocation de son autorisation d’établissement, à charge pour les autorités de lui fournir des documents attestant le maintien de ladite autorisation. Le recours du DSE sera en conséquence rejeté. 7) En vertu de l’art. 96 al. 2 LEtr, lorsqu’une mesure serait justifiée, mais qu’elle n’est pas adéquate, l’autorité compétente peut donner un simple avertissement à la personne concernée en lui adressant un avis comminatoire.![endif]&gt;![if&gt; En l’occurrence, même si la révocation litigieuse n’est pas conforme au principe de la proportionnalité, il est nécessaire de rendre M. A______ attentif que l’annulation de la révocation de son autorisation d’établissement implique qu'il ne commette plus de nouveaux délits et respecte les injonctions que les autorités d’exécution de peine lui adresseront dans le cadre de l’exécution de l’arrêt de la chambre pénale du 18 octobre 2010, en particulier concernant le traitement ambulatoire. S'il devait récidiver, l’intéressé s'exposerait à une mesure d'éloignement. 8) Concernant la demande de l’intimé, formulée dans ses écritures des 6 février et 2 juin 2015, de restitution du montant de CHF 134.- débité du compte du compte de son avocate pour les copies du dossier remis par le département, la facturation de cette somme repose sur les art. 44 al. 4 LPA et 7 al. 1 du règlement sur les frais, émoluments et indemnités en procédure administrative du 30 juillet 1986 (RFPA - E 5 10.03), l’art. 65 LPA n’exigeant pas la production des pièces en plus d’un exemplaire. En outre, ledit dossier ayant été consulté par le conseil de l’intimé, qui en a obtenu des copies, il n’y pas de place pour une violation du droit d’être entendu.![endif]&gt;![if&gt; Cette demande doit être rejetée. 9) Vu l’issue du litige, aucun émolument ne sera perçu (art. 87 al. 1 LPA). Une indemnité de procédure de CHF 1’000.- pour la seconde instance sera allouée à l’intimé, qui y a conclu et est assisté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