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A/2836/2006 vom 31. August 2012</w:t>
      </w:r>
    </w:p>
    <w:p>
      <w:r>
        <w:t>GE Cour de justice, 2012-08-31, FR</w:t>
      </w:r>
    </w:p>
    <w:p>
      <w:r>
        <w:rPr>
          <w:b/>
        </w:rPr>
        <w:t xml:space="preserve">Quelle: </w:t>
      </w:r>
      <w:r>
        <w:t>https://mcp.opencaselaw.ch/entscheid/ge_gerichte_A_2836_2006</w:t>
      </w:r>
    </w:p>
    <w:p>
      <w:r>
        <w:t>FR: GE_GERICHTE A/2836/2006 du 31 août 2012</w:t>
      </w:r>
    </w:p>
    <w:p>
      <w:r>
        <w:t>IT: GE_GERICHTE A/2836/2006 del 31 agosto 2012</w:t>
      </w:r>
    </w:p>
    <w:p>
      <w:pPr>
        <w:pStyle w:val="Heading2"/>
      </w:pPr>
      <w:r>
        <w:t>Erwägungen</w:t>
      </w:r>
    </w:p>
    <w:p>
      <w:r>
        <w:rPr>
          <w:b/>
        </w:rPr>
        <w:t>E. 30</w:t>
      </w:r>
    </w:p>
    <w:p>
      <w:r>
        <w:t>% pour prendre en compte les spécificités du cabinet 69'951 fr. 84 Total admis 303'124 fr. 64 Chiffre d’affaires de la défenderesse sur la base d’un indice de 142 (436 x 759.41) 331'102 fr. 76 Différence (RSS 2007) 27'978 fr. 10 Pour l'année 2007, il y a donc lieu d'admettre une violation du principe d'économicité, la somme facturée indûment s’élevant à 27'978 fr. 10. 16.    Ainsi, et au total, le montant dû par la défenderesse est de 130'483 fr. 95 (59'722 fr. 10 + 12'208 fr. 75 + 30'575 fr. + 27'978 fr. 10).![endif]&gt;![if&gt; 17.    Au vu de ce qui précède, les demandes seront partiellement admises.![endif]&gt;![if&gt; 18.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Eu égard au sort du litige, SANTÉSUISSE n'obtenant que partiellement gain de cause, les frais du Tribunal, par 5’000 fr. sont mis à charge des parties, à raison d’une moitié à la charge des demanderesses, prises conjointement et solidairement, et de l'autre moitié à la charge de la défenderesse. L'émolument fixé à 10'000 fr. est mis à la charge des parties, à raison d’une moitié à la charge des demanderesses, prises conjointement et solidairement, et de l’autre moitié à la charge de la défenderesse. 19.    Pour le surplus, vu l'issue du litige, les dépens seront compensés.![endif]&gt;![if&gt;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