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A/2833/2007 vom 20. Dezember 2007</w:t>
      </w:r>
    </w:p>
    <w:p>
      <w:r>
        <w:t>GE Cour de justice, 2007-12-20, FR</w:t>
      </w:r>
    </w:p>
    <w:p>
      <w:r>
        <w:rPr>
          <w:b/>
        </w:rPr>
        <w:t xml:space="preserve">Quelle: </w:t>
      </w:r>
      <w:r>
        <w:t>https://mcp.opencaselaw.ch/entscheid/ge_gerichte_A_2833_2007</w:t>
      </w:r>
    </w:p>
    <w:p>
      <w:r>
        <w:t>FR: GE_GERICHTE A/2833/2007 du 20 décembre 2007</w:t>
      </w:r>
    </w:p>
    <w:p>
      <w:r>
        <w:t>IT: GE_GERICHTE A/2833/2007 del 20 dicembre 2007</w:t>
      </w:r>
    </w:p>
    <w:p>
      <w:pPr>
        <w:pStyle w:val="Heading2"/>
      </w:pPr>
      <w:r>
        <w:t>Regeste</w:t>
      </w:r>
    </w:p>
    <w:p>
      <w:r>
        <w:t>Minumum vital | Frais médicaux, loyer admissible. | LP.17.4; LP.93; LP.112</w:t>
      </w:r>
    </w:p>
    <w:p>
      <w:pPr>
        <w:pStyle w:val="Heading2"/>
      </w:pPr>
      <w:r>
        <w:t>Erwägungen</w:t>
      </w:r>
    </w:p>
    <w:p>
      <w:r>
        <w:rPr>
          <w:b/>
        </w:rPr>
        <w:t>E. 8</w:t>
      </w:r>
    </w:p>
    <w:p>
      <w:r>
        <w:t>Eu égard aux principes susrappelés et aux justificatifs produits, le minimum vital du plaignant, calculé en application des Normes d’insaisissabilité pour l’année 2007, était au mois de juillet 2007 de 3'307 fr. 50 (base d’entretien : 1'550 fr. ; loyer : 410 fr. ; assurance maladie du débiteur : 285 fr. ; assurance maladie de l’épouse : 306 fr. ; frais de repas : 220 fr. ; frais médicaux de l’épouse : 536 fr. 50). Au mois d’août 2007, il était de 3'975 fr. 70 (base d’entretien : 1'550 fr. ; loyer : 410 fr. ; assurance maladie du débiteur : 285 fr. ; assurance maladie de l’épouse : 306 fr. ; frais de repas : 220 fr. ; frais médicaux de l’épouse : 1'204 fr. 70). Depuis le mois de septembre 2007, il est de 2'896 fr . (base d’entretien : 1'550 fr. ; loyer : 410 fr. ; assurance maladie du débiteur : 285 fr. ; assurance maladie de l’épouse : 306 fr. ; frais de repas : 220 fr. ; frais médicaux de l’épouse : 125 fr.)</w:t>
      </w:r>
    </w:p>
    <w:p>
      <w:r>
        <w:rPr>
          <w:b/>
        </w:rPr>
        <w:t>E. 9</w:t>
      </w:r>
    </w:p>
    <w:p>
      <w:r>
        <w:t>Le calcul de la quotité saisissable d’un débiteur marié implique : - de déterminer le revenu net des deux conjoints et leur minimum vital commun ; - de répartir ce minimum vital commun entre eux en proportion de leurs revenus nets, ce qui donne la part du poursuivi au minimum vital ; et - de déduire du montant du revenu net du conjoint poursuivi sa part au minimum vital (Pierre-Robert Gilliéron , Poursuites pour dettes, faillite et concordat, 2005 n° 993, p. 199 ; Walter A. Stoffel , Voies d’exécution, 2002, § 5 n° 39, p. 144 ; ATF 114 III 12 consid. 3, JdT 1990 II 118 ; ATF 7B.240/2001 du 18 décembre 2001 consid. 1.a). En l’espèce, la part du débiteur au minimum vital était de : 2'379 fr. 80 au mois de juillet 2007 [(7'695 fr. 80 / 7’695 fr. 80 + 3'000) x 3'307 fr. 50] ; 2'860 fr. 60 au mois d’août 2007 [(7'695 fr. 80 / 7’695 fr. 80 + 3'000) x 3'975 fr. 70] ; 2'083 fr. 70 dès le mois de septembre 2007 [(7'695 fr. 80 / 7’695 fr. 80 + 3'000 fr.) x 2'896 fr.]. La quotité saisissable était de : 5'316 fr. au mois de juillet 2007 ; 4'835 fr. 20 au mois d’août 2007 ; 5'612 fr. 10 dès le mois de septembre 2007. Force est donc de constater que la quotité saisissable fixée par l’Office à 5'710 fr. a porté atteinte au minimum vital du débiteur aux mois de juillet et août 2007. Pour les mois de septembre et octobre 2007, la quotité saisissable fixée par ordonnance de la Commission de céans à 5'670 fr. a également porté atteinte au minimum vital du précité. Le 12 novembre 2007, l’Office a rendu une nouvelle décision fixant la quotité saisissable à 5'460 fr. par mois, soit à un montant inférieur à celui établi par la Commission de céans, de 5'670 fr. Toutefois, en vertu du principe de l’interdiction de la reformatio in pejus , la Commission de céans ne peut modifier l’acte de poursuite attaqué au détriment du plaignant (art. 20a al. 3 ch. 3 LP ; Pauline Erard , CR-LP, ad art. 20a n° 20). Partant, la quotité saisissable doit être fixée à 5'460 fr. à partir du mois de novembre 2007, la Commission de céans n’étant pas autorisée à diminuer ce montant au détriment du débiteur, la nouvelle décision de l’Office n’ayant pas fait l’objet d’une plainte de la créancière.</w:t>
      </w:r>
    </w:p>
    <w:p>
      <w:r>
        <w:rPr>
          <w:b/>
        </w:rPr>
        <w:t>E. 10</w:t>
      </w:r>
    </w:p>
    <w:p>
      <w:r>
        <w:t>La présente plainte sera donc partiellement admise, la quotité saisissable fixée à 5'316 fr. au mois de juillet 2007, à 4'835 fr. 20 au mois d’août 2007, à 5'612 fr. 10 aux mois de septembre et octobre 2007 et à 5'460 fr. à partir du mois de novembre 2007, l’Office étant invité à restituer le trop-perçu au débiteur. 11.a. S’agissant, enfin, du grief tiré de la violation des art. 112 à 114 LP, la Commission de céans relèvera ce qui suit. Lorsque le débiteur est sujet à la poursuite par voie de saisie, l’Office, après réception de la réquisition de continuer la poursuite, procède sans retard à la saisie ou y fait procéder par l’office du lieu où se trouvent les biens à saisir (art. 89 LP). Le débiteur doit être avisé de la saisie la veille au plus tard. Il est tenu d’y assister ou de s’y faire représenter (art. 90 et 91 LP). Lorsque la saisie porte sur une créance ou autre doit non constaté par un titre au porteur ou transmissible par endossement, le préposé prévient le tiers débiteur que désormais il ne pourra plus s’acquitter qu’en mains de l’Office (art. 99 LP). L’Office communique cet avis à l’aide du formulaire prévu à cet effet, soit le formulaire n° 10 s’il s’agit d’une saisie de salaire. L’Office dresse ensuite un procès-verbal de saisie dont il notifie une copie aux créanciers et au débiteur à l’expiration du délai de participation de 30 jours, à compter de l’exécution de la saisie (art. 110, 112 et 114 LP). 11.b. En l’espèce, il appert que l’Office a adressé un avis de saisie au débiteur, pour le 11 juin 2007, qu’à cette date le débiteur s’est présenté à l’Office, qu’il a été interrogé et qu’un délai au 22 juin 2007 lui a été imparti pour produire des pièces complémentaires. A réception des pièces produites, l’Office a établi le minimum vital du précité et décidé d’exécuter une saisie de salaire à hauteur de 5'710 fr. par mois. Il en a informé l’employeur du débiteur par avis du 3 juillet 2007. Le délai de participation est arrivé à échéance le 2 août 2007 et l’Office a adressé une copie du procès-verbal de saisie série n° 07 xxxx05 E à la créancière et au débiteur le 22 août 2007. Bien que l’Office ait un peu tardé dans l’envoi du procès-verbal de saisie aux parties, force est de constater qu’il a respecté la procédure en matière de saisie et que le grief soulevé à cet égard par le plaignant est infondé.</w:t>
      </w:r>
    </w:p>
    <w:p>
      <w:r>
        <w:rPr>
          <w:b/>
        </w:rPr>
        <w:t>E. 12</w:t>
      </w:r>
    </w:p>
    <w:p>
      <w:r>
        <w:t>Il est statué sans frais ni dépens (art. 20a al. 2 ch. 5 LP ; art. 61 al. 2 let. a et 62 al. 2 OELP). * * * * * PAR CES MOTIFS, LA COMMISSION DE SURVEILLANCE SIÉGEANT EN SECTION : A la forme : Déclare recevable la plainte A/2833/2007 formée le 11 juillet 2007 par M. C______ contre la saisie de salaire exécutée dans le cadre de la poursuite n° 03 xxxx38 M. Au fond : 1. L’admet partiellement. 2. Fixe la quotité saisissable à 5'316 fr. pour le mois de juillet 2007, à 4'835 fr. 20 pour le mois d’août 2007, à 5'612 fr. 10 pour les mois de septembre et octobre 2007 et à 5'460 fr. à partir du mois de novembre 2007. 3. Invite l’Office des poursuites à restituer le trop-perçu à M. C______. 4. Déboute les parties de toutes autres conclusions. Siégeant : M. Grégory BOVEY, président ; MM. Didier BROSSET et Christian CHAVAZ,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