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A/2829/2019 vom 5. November 2019</w:t>
      </w:r>
    </w:p>
    <w:p>
      <w:r>
        <w:t>GE Cour de justice, 2019-11-05, FR</w:t>
      </w:r>
    </w:p>
    <w:p>
      <w:r>
        <w:rPr>
          <w:b/>
        </w:rPr>
        <w:t xml:space="preserve">Quelle: </w:t>
      </w:r>
      <w:r>
        <w:t>https://mcp.opencaselaw.ch/entscheid/ge_gerichte_A_2829_2019</w:t>
      </w:r>
    </w:p>
    <w:p>
      <w:r>
        <w:t>FR: GE_GERICHTE A/2829/2019 du 5 novembre 2019</w:t>
      </w:r>
    </w:p>
    <w:p>
      <w:r>
        <w:t>IT: GE_GERICHTE A/2829/2019 del 5 novembre 2019</w:t>
      </w:r>
    </w:p>
    <w:p>
      <w:pPr>
        <w:pStyle w:val="Heading2"/>
      </w:pPr>
      <w:r>
        <w:t>Erwägungen</w:t>
      </w:r>
    </w:p>
    <w:p>
      <w:r>
        <w:rPr>
          <w:b/>
        </w:rPr>
        <w:t>E. 2</w:t>
      </w:r>
    </w:p>
    <w:p>
      <w:r>
        <w:t>ème section dans la cause Madame A______ contre SERVICE DE PROTECTION DES MINEURS EN FAIT 1) Par décision du 3 juillet 2019, le Service de protection des mineurs (ci-après : SPMi) a fixé la contribution mensuelle due par Madame A______ pour le placement de son enfant B_______ à CHF 1'255.- à compter du 17 juin 2019. 2) Par acte expédié le 2 août 2019 à la chambre administrative de la Cour de justice, Mme A______ a recouru contre cette décision. Ses indemnités de chômage prenaient fin en septembre 2019. Elle demandait ainsi que la décision soit modifiée en tenant compte de cet élément. 3) Le SPMi a transmis son dossier. Il a précisé que si les indemnités de chômage n'étaient plus versées, il procéderait, moyennant la production d'un justificatif dans ce sens et d'un relevé relatif aux éléments de fortune de l'intéressée, à un nouveau calcul. 4) Invitée par la chambre de céans à produire ces éléments, la recourante ne s'est pas manifestée. 5) Les parties ont ensuite été informées que la cause était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a. L'objet du litige correspond à l'objet de la décision attaquée, qui délimite son cadre matériel admissible (ATF 136 V 362 consid. 3.4 et 4.2 ; ATA/123/2019 du 5 février 2019 consid. 5). b.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 Un intérêt digne de protection suppose, notamment, un intérêt actuel à obtenir l'annulation de la décision attaquée (ATF 138 II 42 consid. 1 ; arrêt du Tribunal fédéral 2C_36/2018 du 27 mars 2018 consid. 2.2 ; ATA/70/2018 du 23 janvier 2018 et les références citées). L'existence d'un intérêt actuel doit exister, en tout cas, au moment du dépôt du recours (ATF 137 I 296 consid. 4.2) ; le recours est déclaré irrecevable si l'intérêt actuel faisait défaut au moment du dépôt du recours (ATF 139 I 206 consid. 1.1 et la jurisprudence citée). c. En l'espèce, la décision querellée met à la charge de la recourante, à compter du 17 juin 2019, le montant mensuel de CHF 1'255.-. Dans son recours du 2 août 2019, l'intéressée n'a pas critiqué ce montant, mais fait valoir qu'en septembre 2019, elle ne percevrait plus d'indemnités de chômage, ce dont il convenait de tenir compte. Ce faisant, elle n'a pas remis en cause la décision pour la période déjà écoulée, mais s'est prévalue de circonstances à venir, non encore réalisées. Or, conformément à ce qui vient d'être exposé, elle ne disposait, au moment du dépôt de son recours, d'aucun intérêt actuel à obtenir la modification de la décision querellée. Partant, son recours devra être déclaré irrecevable. Pour le surplus et comme l'a indiqué le SPMi dans ses déterminations, l'administrée peut solliciter de celui-ci, moyennant la production des pièces demandées (justificatif relatif à la fin des prestations versées par l'assurance chômage et relevé relatif à ses éléments de fortune), un nouveau calcul du montant pouvant être mis à sa charge pour le placement de son enfant, si depuis la décision du mois de juillet 2019, les circonstances se sont modifiées. 3) Vu l'objet du litige, il n'est pas perçu d'émolument (art. 87 al. 1 LPA) et il n'y a pas lieu à l'allocation d'une indemnité de procédure au regard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