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A/2829/2008 vom 18. September 2008</w:t>
      </w:r>
    </w:p>
    <w:p>
      <w:r>
        <w:t>GE Cour de justice, 2008-09-18, FR</w:t>
      </w:r>
    </w:p>
    <w:p>
      <w:r>
        <w:rPr>
          <w:b/>
        </w:rPr>
        <w:t xml:space="preserve">Quelle: </w:t>
      </w:r>
      <w:r>
        <w:t>https://mcp.opencaselaw.ch/entscheid/ge_gerichte_A_2829_2008</w:t>
      </w:r>
    </w:p>
    <w:p>
      <w:r>
        <w:t>FR: GE_GERICHTE A/2829/2008 du 18 septembre 2008</w:t>
      </w:r>
    </w:p>
    <w:p>
      <w:r>
        <w:t>IT: GE_GERICHTE A/2829/2008 del 18 settembre 2008</w:t>
      </w:r>
    </w:p>
    <w:p>
      <w:pPr>
        <w:pStyle w:val="Heading2"/>
      </w:pPr>
      <w:r>
        <w:t>Volltext</w:t>
      </w:r>
    </w:p>
    <w:p>
      <w:r>
        <w:t>Genève Cour de justice (Cour de droit public) Chambre administrative 18.09.2008 A/2829/2008</w:t>
      </w:r>
    </w:p>
    <w:p>
      <w:r>
        <w:t>A/2829/2008 ATA/485/2008 du 18.09.2008 ( LCR ) , ACCORDE RÉPUBLIQUE ET CANTON DE GENÈVE POUVOIR JUDICIAIRE A/2829/2008-LCR ATA/485/2008 DÉCISION DU VICE-PRÉSIDENT DU TRIBUNAL ADMINISTRATIF du 18 septembre 2008 sur effet suspensif dans la cause Monsieur P______ Contre SERVICE DES AUTOMOBILES ET DE LA NAVIGATION Vu le recours interjeté le 31 juillet 2008 par Monsieur P______ contre une décision du service des automobiles et de la navigation du 10 juillet 2008 ; vu l’article 66 alinéa 2 de la loi sur la procédure administrative du 12 septembre 1985 ; vu l’article 5 du règlement du Tribunal administratif du 5 février 2007 ; vu la demande de restitution de l’effet suspensif de M. P______, datée du 17 septembre 2008 ; LE VICE-PRÉSIDENT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P______ ainsi qu'au service des automobiles et de la navigation.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