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A/2823/2024 vom 8. September 2025</w:t>
      </w:r>
    </w:p>
    <w:p>
      <w:r>
        <w:t>GE Cour de justice, 2025-09-08, FR</w:t>
      </w:r>
    </w:p>
    <w:p>
      <w:r>
        <w:rPr>
          <w:b/>
        </w:rPr>
        <w:t xml:space="preserve">Quelle: </w:t>
      </w:r>
      <w:r>
        <w:t>https://mcp.opencaselaw.ch/entscheid/ge_gerichte_A_2823_2024</w:t>
      </w:r>
    </w:p>
    <w:p>
      <w:r>
        <w:t>FR: GE_GERICHTE A/2823/2024 du 8 septembre 2025</w:t>
      </w:r>
    </w:p>
    <w:p>
      <w:r>
        <w:t>IT: GE_GERICHTE A/2823/2024 del 8 settembre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ainsi régie par les dispositions de la LPGA et de la loi sur la procédure administrative, du 12 septembre 1985 (LPA – E 5 10).</w:t>
      </w:r>
    </w:p>
    <w:p>
      <w:r>
        <w:rPr>
          <w:b/>
        </w:rPr>
        <w:t>E. 1.3</w:t>
      </w:r>
    </w:p>
    <w:p>
      <w:r>
        <w:t>Interjeté dans la forme (art. 61 let. b LPGA ; art. 89B LPA) et le délai de 30 jours prévus par la loi, compte tenu de la suspension des délais pour la période du 15 juillet au 15 août inclusivement (art. 38 al. 4 let. b et 60 al. 1 LPGA ; art. 89C let. b LPA) , le recours est recevable.</w:t>
      </w:r>
    </w:p>
    <w:p>
      <w:r>
        <w:rPr>
          <w:b/>
        </w:rPr>
        <w:t>E. 2</w:t>
      </w:r>
    </w:p>
    <w:p>
      <w:r>
        <w:t>Le litige porte sur le bien-fondé de la décision de suppression du 1 er juillet 2024, étant précisé qu’une rente entière d'invalidité a été versée au recourant du 1 er août 2015 au 30 avril 2019 puis à nouveau dès le 1 er octobre 2019.</w:t>
      </w:r>
    </w:p>
    <w:p>
      <w:r>
        <w:rPr>
          <w:b/>
        </w:rPr>
        <w:t>E. 2.1</w:t>
      </w:r>
    </w:p>
    <w:p>
      <w:r>
        <w:t>Le 1 er janvier 2022, les modifications de la LAI du 19 juin 2020 (développement continu de l’AI ; RO 2021 705) ainsi que celles du 3 novembre 2021 du règlement sur l’assurance-invalidité du 17 janvier 1961 (RAI - RS 831.201 ; RO 2021 706) sont entrées en vigueur.</w:t>
      </w:r>
    </w:p>
    <w:p>
      <w:r>
        <w:rPr>
          <w:b/>
        </w:rPr>
        <w:t>E. 2.1.1</w:t>
      </w:r>
    </w:p>
    <w:p>
      <w:r>
        <w:t>En l’absence de disposition transitoire spéciale, ce sont les principes généraux de droit intertemporel qui prévalent, à savoir l’application du droit en vigueur lorsque les faits déterminants se sont produits ( cf .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 arrêt du Tribunal fédéral 9C_60/2023 du 20 juillet 2023 consid. 2.2 et les références). Dans les cas de révision selon l'art. 17 LPGA, conformément aux principes généraux du droit intertemporel ( cf .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 er janvier 2022 sont applicables. La date de la modification se détermine selon l'art. 88a RAI (arrêts du Tribunal fédéral 8C_55/2023 du 11 juillet 2023 consid. 2.2 ; 8C_644/2022 du 8 février 2023 consid. 2.2.3). Si un droit à la rente a pris naissance jusqu’au 31 décembre 2021, un éventuel passage au nouveau système de rentes linéaire s'effectue, selon l'âge du bénéficiaire de rente, conformément aux let. b et c des dispositions transitoires de la LAI relatives à la modification du 19 juin 2020. Selon la let. b al. 1, les bénéficiaires de rente dont le droit à la rente a pris naissance avant l'entrée en vigueur de cette modification et qui, à l'entrée en vigueur de la modification, ont certes 30 ans révolus, mais pas encore 55 ans, conservent la quotité de la rente tant que leur taux d'invalidité ne subit pas de modification au sens de l'art. 17 al. 1 LPGA (cf. arrêt du Tribunal fédéral 9C _499/2022 du 29 juin 2023 consid. 4.1).</w:t>
      </w:r>
    </w:p>
    <w:p>
      <w:r>
        <w:rPr>
          <w:b/>
        </w:rPr>
        <w:t>E. 2.1.2</w:t>
      </w:r>
    </w:p>
    <w:p>
      <w:r>
        <w:t>En l'occurrence, le litige porte sur le droit de la rente du recourant à compter du 1 er septembre 2024. Dans la mesure où l'intimé a retenu une modification des circonstances postérieure au 1 er janvier 2022, les dispositions légales applicables seront citées dans leur nouvelle teneur.</w:t>
      </w:r>
    </w:p>
    <w:p>
      <w:r>
        <w:rPr>
          <w:b/>
        </w:rPr>
        <w:t>E. 3.1</w:t>
      </w:r>
    </w:p>
    <w:p>
      <w:r>
        <w:t>Selon l'art. 17 al. 1 LPGA, la rente d’invalidité est, d’office ou sur demande, révisée pour l’avenir, à savoir augmentée, réduite ou supprimée, lorsque le taux d’invalidité de l’assuré : subit une modification d’au moins 5 points de pourcentage (let. a) ou atteint 100% (let. b). Selon l'art. 87 al. 1 RAI, la révision a lieu d'office lorsqu'en prévision de la possibilité d’une modification importante du taux d’invalidité, du degré d’impotence, ou encore du besoin de soins ou du besoin d’aide découlant de l’invalidité, un terme a été fixé au moment de l’octroi de la rente, de l’allocation pour impotent ou de la contribution d’assistance (let. a), ou lorsque des organes de l’assurance ont connaissance de faits ou ordonnent des mesures qui peuvent entraîner une modification importante du taux d’invalidité, du degré d’impotence ou encore du besoin de soins ou du besoin d’aide découlant de l’invalidité (let. b). L'art. 88a al. 1 RAI prévoit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Conformément à l'art. 88 bis al. 2 let. a RAI, la diminution ou la suppression de la rente, de l'allocation pour impotent ou de la contribution d'assistance prend effet au plus tôt le premier jour du deuxième mois qui suit la notification de la décision.</w:t>
      </w:r>
    </w:p>
    <w:p>
      <w:r>
        <w:rPr>
          <w:b/>
        </w:rPr>
        <w:t>E. 3.2</w:t>
      </w:r>
    </w:p>
    <w:p>
      <w:r>
        <w:t>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88a al. 1 RAI). Le fardeau de la preuve quant à cette amélioration de la capacité de travail incombe à l’administration (arrêt du Tribunal fédéral 8C_510/2020 du 15 avril 2021 consid. 2.2 et les références). Il n'y a pas matière à révision lorsque les circonstances sont demeurées inchangées et que le motif de la suppression ou de la diminution de la rente réside uniquement dans une nouvelle appréciation du cas (ATF 147 V 167 consid. 4.1 et les références).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Le simple fait qu'un diagnostic ne soit plus retenu à la suite d'un examen ultérieur ne saurait justifier, à lui seul, la révision du droit à la rente, dans la mesure où un tel constat ne permet pas d'exclure l'existence d'une appréciation différente d'un état de fait qui, pour l'essentiel, est demeuré inchangé. Une modification sensible de l'état de santé ne saurait être admise que si le nouveau diagnostic est corroboré par un changement clairement objectivé de la situation clinique et par l'amélioration, voire la disparition des limitations fonctionnelles précédemment décrites (arrêts du Tribunal fédéral 9C_860/2015 du 1 er juin 2016 consid. 4.3 ; cf . également 9C_353/2020 du 5 mai 2021 consid. 2.2 et les références). Les constatations et conclusions médicales dans le cadre d’une révision doivent porter précisément sur les changements survenus par rapport à l’atteinte à la santé et à ses effets depuis l’appréciation médicale antérieure déterminante. La valeur probante d’une expertise réalisée dans le cadre de la révision du droit à la rente dépend donc essentiellement de la question de savoir si elle contient des explications suffisantes sur la mesure dans laquelle une modification de l’état de santé a eu lieu. Demeurent réservées les situations dans lesquelles il est évident que l’état de santé s’est modifié (arrêt du Tribunal fédéral 8C_385/2023 du 30 novembre 2023 consid. 4.2.3 et les références).</w:t>
      </w:r>
    </w:p>
    <w:p>
      <w:r>
        <w:rPr>
          <w:b/>
        </w:rPr>
        <w:t>E. 3.3</w:t>
      </w:r>
    </w:p>
    <w:p>
      <w:r>
        <w:t>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 Lorsqu’une modification notable de l'état de fait n'est pas démontrée au degré de la vraisemblance prépondérante, eu égard aux principes en matière de fardeau de la preuve, il faut s'en tenir à la situation juridique qui prévalait jusque-là (ATF 141 V 405 consid. 4.4 ; arrêts du Tribunal fédéral 9C_418/2010 du 29 août 2011 consid. 3.1 et 8C_549/2012 du 12 décembre 2012 consid. 2).</w:t>
      </w:r>
    </w:p>
    <w:p>
      <w:r>
        <w:rPr>
          <w:b/>
        </w:rPr>
        <w:t>E. 4.1</w:t>
      </w:r>
    </w:p>
    <w:p>
      <w:r>
        <w:t>Avec répercussion sur la capacité de travail 4.1.1   Dates d'apparition 4.2         Sans répercussion sur la capacité de travail 4.2.1   Dates d'apparition 4.3         Quel est le degré de gravité de chacun des troubles diagnostiqués (faible, moyen, grave) ? 4.4         Les atteintes et les plaintes de la personne expertisée correspondent-elles à un substrat organique objectivable ? 4.5         L’état de santé de la personne expertisée s’est-il amélioré/détérioré depuis le 11 janvier 2021 ? Précisez l'évolution de chacun des diagnostics retenus ainsi que leur impact sur la capacité de travail de la personne expertisée. 4.6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 4.7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 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4.3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 126 V 353 consid. 5b ; 125 V 193 consid. 2). Aussi n’existe-t-il pas, en droit des assurances sociales, un principe selon lequel l’administration ou le juge devrait statuer, dans le doute, en faveur de l’assuré (ATF 135 V 39 consid. 6.1 et la référence).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4.8</w:t>
      </w:r>
    </w:p>
    <w:p>
      <w:r>
        <w:t>Dans l’affirmative, considérez-vous que cela suffise à exclure une atteinte à la santé significative ?</w:t>
      </w:r>
    </w:p>
    <w:p>
      <w:r>
        <w:rPr>
          <w:b/>
        </w:rPr>
        <w:t>E. 4.9</w:t>
      </w:r>
    </w:p>
    <w:p>
      <w:r>
        <w:t>Est-ce que le tableau clinique est cohérent, compte tenu du ou des diagnostic(s) retenu(s) ou y a-t-il des atypies ?</w:t>
      </w:r>
    </w:p>
    <w:p>
      <w:r>
        <w:rPr>
          <w:b/>
        </w:rPr>
        <w:t>E. 4.10</w:t>
      </w:r>
    </w:p>
    <w:p>
      <w:r>
        <w:t>Est-ce que ce qui est connu de l’évolution correspond à ce qui est attendu pour le ou les diagnostic(s) retenu(s) ? 5. Limitations fonctionnelles 5.1         Indiquer les limitations fonctionnelles en relation avec chaque diagnostic 5.1.1   Dates d’apparition</w:t>
      </w:r>
    </w:p>
    <w:p>
      <w:r>
        <w:rPr>
          <w:b/>
        </w:rPr>
        <w:t>E. 5</w:t>
      </w:r>
    </w:p>
    <w:p>
      <w:r>
        <w:t>En l'espèce, la question de savoir si et depuis quand le degré d'invalidité du recourant a subi une modification au sens de l'art. 17 LPGA doit être jugée en comparant les faits tels qu'ils se présentaient à l'époque de la décision du 11 janvier 2021 octroyant la rente entière d'invalidité, à ceux qui ont existé jusqu'au 1 er juillet 2024, marquant la limite dans le temps du pouvoir d'examen de la chambre de céans. L'octroi de la rente entière d'invalidité a été le résultat d'une procédure d'instruction, au cours de laquelle l'intimé, après avoir récolté les rapports médicaux du médecin traitant du recourant, a retenu, comme atteintes principales, s'agissant du genou gauche, une fracture d'un éperon rotulien distal et une rupture partielle du tendon rotulien à la suite de l'accident du 28 août 2014, traitée de façon conservative puis par chirurgies (19 février 2015 et 14 juin 2017), s'agissant du genou droit, une fissuration du ménisque interne, traitée par chirurgie (5 décembre 2018), s'agissant de la cheville droite, un kyste polylobé, et enfin, s'agissant de la colonne lombaire, une dissection discale L4-L5 et un rétrécissement débutant récessal gauche au contact avec l'émergence de la racine L5 et une absence de conflits disco-radiculaires significatifs. Il en résultait une incapacité de travail dans l'activité habituelle dès le 28 août 2014 et une capacité de travail entière dans une activité adaptée à compter de février 2019 ( cf . rapport final du 18 octobre 2019 du SMR). Ces atteintes ont justifié l'octroi d'une rente à partir du 1 er août 2015 au 30 avril 2019 par décision du 13 mars 2020. À la suite d'une procédure par-devant la chambre de céans qui a abouti à l'annulation de la décision précitée en tant qu'elle limitait la rente entière octroyée au 30 avril 2019 ( cf . ATAS/602 2020 du 29 juillet 2020), l'intimé a, par décision du 11 janvier 2021, octroyé une rente d'invalidité du 1 er août 2015 au 30 avril 2019 puis à nouveau dès le 1 er octobre 2019. Il ressortait de l'arrêt précité et de l'avis du SMR du 16 juin 2020 produit dans le cadre de ladite procédure, qu'au vu de la double opération sur le genou droit et la cheville droite du 30 octobre 2019, le recourant se trouvait à nouveau en incapacité de travail pour une durée indéterminée. Le 19 avril 2023, l'intimé a engagé une procédure de révision du droit à la rente du recourant, laquelle a abouti à la décision litigieuse du 1 er juillet 2023 supprimant ce droit à compter du 1 er septembre 2024. L'intimé a retenu une capacité de travail entière dans une activité adaptée à compter de novembre 2022. Il s'est fondé sur l'avis du SMR du 26 février 2024 qui reprend entièrement les conclusions de l'expertise orthopédique du 21 février 2024 du Dr G______. Le recourant conteste la valeur probante de ladite expertise, et réfute la capacité de travail résiduelle entière retenue. Il y a lieu de préciser qu'il n'est pas contesté que le recourant présente une incapacité de travail complète dans son activité habituelle.</w:t>
      </w:r>
    </w:p>
    <w:p>
      <w:r>
        <w:rPr>
          <w:b/>
        </w:rPr>
        <w:t>E. 5.1</w:t>
      </w:r>
    </w:p>
    <w:p>
      <w:r>
        <w:t>Il convient tout d'abord d'examiner la valeur probante de l'expertise orthopédique du 21 février 2024 du Dr G______.</w:t>
      </w:r>
    </w:p>
    <w:p>
      <w:r>
        <w:rPr>
          <w:b/>
        </w:rPr>
        <w:t>E. 5.1.1</w:t>
      </w:r>
    </w:p>
    <w:p>
      <w:r>
        <w:t>Sur le plan formel, il est relevé que l'expert, spécialiste en orthopédie, a rendu son rapport à l'issue d'un examen sur l'assuré. Le rapport comporte un résumé du dossier, l'énumération des examens radiographiques, l'entretien avec le recourant, les constatations de l'expert, une liste d'informations fournies par des tiers, ainsi que l'évaluation médicale lors de laquelle l'expert se prononce sur les diagnostics retenus et la capacité de travail du recourant. A priori , la valeur probante devrait être reconnue, bien que la plupart des rapports médicaux mentionnés sous « informations éventuelles fournies par des tiers » semblent être en réalité des rapports médicaux figurant déjà dans le dossier fourni par l'intimé.</w:t>
      </w:r>
    </w:p>
    <w:p>
      <w:r>
        <w:rPr>
          <w:b/>
        </w:rPr>
        <w:t>E. 5.1.2</w:t>
      </w:r>
    </w:p>
    <w:p>
      <w:r>
        <w:t>Sur le fond, la chambre de céans constate toutefois que l'expert ne se prononce pas concrètement sur la question de savoir s'il existe une modification notable de l'état de santé du recourant depuis l'octroi de la rente par décision du 11 janvier 2021. Il semble au contraire procéder à une appréciation différente d'un même état de fait, ce qui ne suffit pas à justifier une révision au sens de l'art. 17 LPGA. En effet, dans son rapport d'expertise, le Dr G______ établit une liste de diagnostics, sans pour autant fournir d'explication sur l'évolution de l'état de santé du recourant depuis l'octroi de la rente, notamment en ce qui concerne les diagnostics posés à ce moment-là ainsi que leur incidence sur sa capacité de travail. Il se contente d'affirmer, sans détailler son raisonnement, que la situation médicale est stabilisée et que la capacité de travail du recourant est entière dans une activité adaptée à compter du mois de novembre 2022, soit environ une année après l'arthroscopie de l'épaule droite. Il n'apporte pas d'explication sur les critères médicaux ayant conduit à conclure à une telle stabilité, ni sur les raisons précises justifiant la capacité de travail complète dans une activité adaptée à ce moment-là. Il sied toutefois de rappeler que la rente entière d'invalidité avait été octroyée notamment en raison d'une incapacité de travail totale liée à la double intervention pratiquée au niveau du genou droit et de la cheville droite du recourant le 30 octobre 2019. Dès lors, il était attendu de l'expert qu'il se prononce de manière suffisamment circonstanciée et précise sur l'évolution de ces atteintes, afin de permettre d'établir si une éventuelle amélioration était de nature à justifier la reprise d'une activité professionnelle. S'agissant plus précisément du genou droit, l'expert retient un status après arthroscopie en 2018 et 2019. Or, le rapport opératoire du Dr D______ à la suite de l'intervention du 30 octobre 2019 retient les diagnostics suivants : lésion instable de la partie moyenne et de la corne postérieure du ménisque interne du genou droit ; lésion du bord libre de la partie moyenne, de la corne antérieure et de la base de l'implantation de la corne postérieure du ménisque externe, lésions cartilagineuses de I° et II° de la rotule ; lésion cartilagineuse instable de I° et II° du versant interne du condyle interne sur 20 mm de diamètre ; processus fibro-synovitiques avec contractures des poulies de la rotule ; corps cartilagineux intra-articulaires libres ; synovites étendues. L'évolution de ces atteintes et leur éventuel impact sur la capacité de travail du recourant ne sont pas discutées par l'expert. Il convient également de relever que l'IRM du 3 septembre 2020 conclut à un status après résection méniscale interne partielle avec fissuration, ulcération et remaniement important de la corne postérieure du ménisque interne, un aspect quasi discoïde du ménisque externe et une tendinopathie avec ulcération du versant postérieure et proximal du tendon rotulien et un épanchement intra-articulaire abondant ( cf . rapport du 3 septembre relatif à l'IRM du genou droit du 1 er septembre 2020). Or, l'expert ne discute pas davantage ces atteintes. Il n'a en outre pas requis d'imagerie plus récente afin d'apprécier leur évolution depuis le 1 er septembre 2020. Il s'est limité à un examen clinique du recourant au cours duquel il n'a pas été en mesure de tester les ménisques « en raison de la non-participation de l'assuré » ( cf . rapport d'expertise p. 37). À cela s'ajoute le fait que l'orthopédiste traitant a fait valoir qu'une reprise chirurgicale du genou droit était envisagée ( cf . courriers des 17 octobre et 10 novembre 2023 du Dr D______), laissant penser qu'il existe une péjoration de l'état de santé du recourant. Bien que le Dr D______ n'ait pas fourni de plus amples explications à ce sujet, il était attendu de l'expert qu'il instruise cette question, en contactant le médecin traitant par exemple. Par conséquent, le rapport d'expertise ne permet pas d'établir une quelconque amélioration de l'état du genou droit. Il en va de même de la cheville droite, l'expert s'étant contenté de mentionner un status après ablation d'un kyste en 2018 et une plastie ligamentaire externe en 2019, sans préciser l'évolution de cette atteinte ni indique si elle exerçait encore, au moment de l'expertise, une influence sur la capacité de travail du recourant. Il ne discute pas non plus des diagnostics retenus par le Dr D______ dans son rapport opératoire à la suite de l'intervention du 30 octobre 2019, ni de leur évolution, à savoir : lésion du ligament du péronéo-astragalien antérieur de la cheville droite ; lésion cartilagineuse instable II° du dôme astragalien antéro-interne sur 10 mm de diamètre ; impingements tibio-astragalien antéro-externe, antérieur et antéro-interne ; corps cartilagineux intra-articulaires libres ; kyste arthro-synovial communicant avec la zone du ligament latéral externe et se poursuivant jusqu'au sinus du tars sur 3 fois 1 cm ; synovites étendues. En conséquence, l'expert n'a pas effectué de comparaison entre les faits déterminants au moment de l'octroi de la rente et ceux au moment de l'expertise. Il n'y a dès lors pas d'explication permettant d'établir s'il existe des changements survenus par rapport aux différentes atteintes à la santé et leurs effets depuis l'appréciation médicale antérieure. En outre, il convient de souligner que l'expertise n'est pas exempte de critiques. Notamment, le contexte médical, ainsi que l'appréciation médicale, ne sont pas clairs et, surtout, ne sont pas motivés. Tout d'abord, comme mentionné supra , l'expert se contente d'indiquer les diagnostics retenus sans préciser leur impact sur la capacité de travail du recourant. L'expert fait également valoir que la capacité de travail dans une activité adaptée était à nouveau exigible un an après l'arthroscopie de l'épaule droite du recourant, soit dès novembre 2022. Cependant, il n'apporte aucune explication concernant la nature des atteintes de l'épaule droite, leur évolution depuis l'intervention, ni les motifs justifiant la reprise d'une capacité de travail dans une activité adaptée à ce délai. L'on ne comprend dès lors pas les raisons justifiant une capacité de travail complète dans une activité adaptée une année après l'intervention à l'épaule droite. Ensuite, certains diagnostics posés ne paraissent pas reposer sur une appréciation complète de l'ensemble des rapports médicaux disponibles. À titre d'exemple, s'agissant du genou gauche, l'expert a retenu un status après fracture de la rotule gauche en 2014 et corrections d'un cal vicieux en 2015 et 2017. Or, l'IRM du 7 novembre 2023 conclut à un ménisque externe discoïde, une probable lésion de type ramp du versant postéro-interne de la corne postérieure du ménisque interne avec une atteinte ligamentaire ménisco-tibiale inférieure et interne, des signes sévères de tendinopathie et une lame de liquide intra-articulaire. Ces constatations ne sont toutefois pas abordées par l'expert. En outre, l'orthopédiste traitant fait état, à plusieurs reprises, de douleurs et d'une reprise chirurgicale nécessaire pour le genou droit ( cf . courriers des 4 décembre 2023 et 8 octobre 2024 du Dr D______). À nouveau, bien que le Dr D______ ne donne pas d'explications détaillées, l'expert était tenu de compléter ses investigations ou de se renseigner auprès de l'orthopédiste traitant sur la nécessité d'une reprise chirurgicale. Il ne pouvait se contenter d'indiquer que l'IRM récente du genou gauche ne montrait aucune lésion justifiant une prise en charge chirurgicale, alors qu'il ne tient pas compte du contenu du rapport relatif à la récente IRM qui semble retenir certaines atteintes ( cf . rapport du 9 novembre 2023 relatif à l'IRM du 7 novembre 2023). L'expert a en outre omis d'examiner certaines atteintes qui apparaissent dans le dossier. Notamment, le rapport du 20 novembre 2023 relatif à l'IRM du 9 novembre 2023 de la cheville gauche fait état d'un œdème du versant latéral de l'astragal évoquant le diagnostic différentiel d'une lésion de stress versus algoneurodystrophie, une lésion nodulaire et un kyste. Or, l'expert ne discute pas de la cheville gauche du recourant. En définitive, le rapport d'expertise du Dr G______ ne saurait se voir reconnaître une pleine valeur probante, dès lors qu'il est lacunaire, peu convaincant et dépourvu de motivation détaillée à l'appui de ses conclusions.</w:t>
      </w:r>
    </w:p>
    <w:p>
      <w:r>
        <w:rPr>
          <w:b/>
        </w:rPr>
        <w:t>E. 5.2</w:t>
      </w:r>
    </w:p>
    <w:p>
      <w:r>
        <w:t>Les plaintes sont-elles objectivées ?</w:t>
      </w:r>
    </w:p>
    <w:p>
      <w:r>
        <w:rPr>
          <w:b/>
        </w:rPr>
        <w:t>E. 5.3</w:t>
      </w:r>
    </w:p>
    <w:p>
      <w:r>
        <w:t>Compte tenu de ce qui précède, on ne saurait admettre que l'état de santé ou la capacité de gain du recourant a connu une amélioration influant sur le droit aux prestations depuis la décision initiale d'octroi de rente, bien qu'il ressorte du dossier une possible fluctuation de l'état de santé du recourant depuis la décision du 11 janvier 2021 lui octroyant une rente entière d'invalidité. En raison de l'instruction incomplète de la situation médicale du recourant, la chambre de céans n'est ainsi pas en mesure de statuer sur l'existence de motifs de révision permettant à l'intimé de supprimer la rente entière d'invalidité, faute de renseignements fiables sur les diagnostics et l'appréciation de la capacité de travail dans une activité adaptée.</w:t>
      </w:r>
    </w:p>
    <w:p>
      <w:r>
        <w:rPr>
          <w:b/>
        </w:rPr>
        <w:t>E. 6</w:t>
      </w:r>
    </w:p>
    <w:p>
      <w:r>
        <w:t>Capacité de travail 6.1         Dater la survenance de l’incapacité de travail durable dans l’activité habituelle pour chaque diagnostic, indiquer son taux pour chaque diagnostic et détailler l’évolution de ce taux pour chaque diagnostic. 6.2         La personne expertisée est-elle capable d’exercer son activité lucrative habituelle ? 6.2.1   Si non, ou seulement partiellement, pourquoi ? Quelles sont les limitations fonctionnelles qui entrent en ligne de compte ? 6.2.2   Depuis quelle date sa capacité de travail est-elle réduite / nulle ? 6.3         La personne expertisée est-elle capable d’exercer une activité lucrative adaptée à ses limitations fonctionnelles ? 6.3.1   Si non, ou seulement partiellement, pourquoi ? Quelles sont les limitations fonctionnelles qui entrent en ligne de compte ? 6.3.2   Si oui, quel est le domaine d’activité lucrative adaptée ? A quel taux ? Depuis quelle date ? 6.3.3   Dire s'il y a une diminution de rendement et la chiffrer. 6.4         Comment la capacité de travail de la personne expertisée a-t-elle évolué depuis le11 janvier 2021 ? 6.5         Des mesures médicales sont-elles nécessaires préalablement à la reprise d’une activité lucrative ? Si oui, lesquelles ? 6.6         Quel est votre pronostic quant à l’exigibilité de la reprise d’une activité lucrative ?</w:t>
      </w:r>
    </w:p>
    <w:p>
      <w:r>
        <w:rPr>
          <w:b/>
        </w:rPr>
        <w:t>E. 7</w:t>
      </w:r>
    </w:p>
    <w:p>
      <w:r>
        <w:t>Traitement 7.1         Examen du traitement suivi par la personne expertisée et analyse de son adéquation. 7.2         Est-ce que la personne expertisée s’est engagée ou s’engage dans les traitements qui sont raisonnablement exigibles et possiblement efficaces dans son cas ou n’a-t-elle que peu ou pas de demande de soins ? 7.3         Propositions thérapeutiques et analyse de leurs effets sur la capacité de travail de la personne expertisée.</w:t>
      </w:r>
    </w:p>
    <w:p>
      <w:r>
        <w:rPr>
          <w:b/>
        </w:rPr>
        <w:t>E. 8</w:t>
      </w:r>
    </w:p>
    <w:p>
      <w:r>
        <w:t>Appréciation d'avis médicaux du dossier 8.1         Êtes-vous d'accord avec les différents avis du Dr D______, notamment ceux des 17 octobre et 4 décembre 2023 ? En particulier avec les diagnostics posés ? Si non, pourquoi ? 8.2         Êtes-vous d'accord avec l'expertise du Dr G______ du 21 février  2024 ? En particulier avec les diagnostics posés, les limitations fonctionnelles constatées et l’estimation d’une capacité de travail complète dans une activité adaptée dès novembre 2022, sans perte de rendement ? Si non, pourquoi ?</w:t>
      </w:r>
    </w:p>
    <w:p>
      <w:r>
        <w:rPr>
          <w:b/>
        </w:rPr>
        <w:t>E. 9</w:t>
      </w:r>
    </w:p>
    <w:p>
      <w:r>
        <w:t>Quel est le pronostic ?</w:t>
      </w:r>
    </w:p>
    <w:p>
      <w:r>
        <w:rPr>
          <w:b/>
        </w:rPr>
        <w:t>E. 10</w:t>
      </w:r>
    </w:p>
    <w:p>
      <w:r>
        <w:t>Des mesures de réadaptation professionnelle sont-elles envisageables ?</w:t>
      </w:r>
    </w:p>
    <w:p>
      <w:r>
        <w:rPr>
          <w:b/>
        </w:rPr>
        <w:t>E. 11</w:t>
      </w:r>
    </w:p>
    <w:p>
      <w:r>
        <w:t>Faire toutes autres observations ou suggestions utiles E.   Invite l’expert à déposer, dans les meilleurs délais , un rapport en trois exemplaires auprès de la chambre de céans. La greffière Sylvie CARDINAUX La présidente Eleanor McGREGOR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