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A/2820/2024 vom 10. Dezember 2024</w:t>
      </w:r>
    </w:p>
    <w:p>
      <w:r>
        <w:t>GE Cour de justice, 2024-12-10, FR</w:t>
      </w:r>
    </w:p>
    <w:p>
      <w:r>
        <w:rPr>
          <w:b/>
        </w:rPr>
        <w:t xml:space="preserve">Quelle: </w:t>
      </w:r>
      <w:r>
        <w:t>https://mcp.opencaselaw.ch/entscheid/ge_gerichte_A_2820_2024</w:t>
      </w:r>
    </w:p>
    <w:p>
      <w:r>
        <w:t>FR: GE_GERICHTE A/2820/2024 du 10 décembre 2024</w:t>
      </w:r>
    </w:p>
    <w:p>
      <w:r>
        <w:t>IT: GE_GERICHTE A/2820/2024 del 10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porte sur la conformité au droit de la décision par laquelle l’intimée a infligé un avertissement au recourant pour violation de ses obligations professionnelles.</w:t>
      </w:r>
    </w:p>
    <w:p>
      <w:r>
        <w:rPr>
          <w:b/>
        </w:rPr>
        <w:t>E. 2.1</w:t>
      </w:r>
    </w:p>
    <w:p>
      <w:r>
        <w:t>Se pose en premier lieu la question du droit applicable.</w:t>
      </w:r>
    </w:p>
    <w:p>
      <w:r>
        <w:rPr>
          <w:b/>
        </w:rPr>
        <w:t>E. 2.1.1</w:t>
      </w:r>
    </w:p>
    <w:p>
      <w:r>
        <w:t>La loi fédérale sur les professions médicales universitaires du 23 juin 2006 (loi sur les professions médicales, LPMéd - RS 811.11) a notamment pour but d’établir les règles régissant l’exercice de la profession de médecin à titre d’activité économique privée sous propre responsabilité professionnelle (art. 1 al. 3 let. e et art. 2 al. 1 let. d LPMéd). Lorsqu’un médecin agit comme indépendant et que son activité répond à la notion qui en est donnée à l’art. 1 al. 3 let. e LPMéd, la loi sur les professions médicales lui est applicable et, au regard de la primauté du droit fédéral, il ne peut être soumis qu’aux mesures disciplinaires prévues par cette loi, à l’exclusion d’éventuelles sanctions prévues par le droit cantonal (ATF 143 I 352 consid. 3.3 ; arrêt du Tribunal fédéral 2C_747/2022 du 14 février 2023 consid. 6.2). A contrario , les personnes exerçant une activité qui ne relève pas de l’art. 1 al. 3 let. e LPMéd sont soumises au droit cantonal et pas au droit fédéral disciplinaire (ATF 148 I 1 consid. 5.2).</w:t>
      </w:r>
    </w:p>
    <w:p>
      <w:r>
        <w:rPr>
          <w:b/>
        </w:rPr>
        <w:t>E. 2.1.2</w:t>
      </w:r>
    </w:p>
    <w:p>
      <w:r>
        <w:t>En l’espèce, il n’est pas contesté que le recourant pratique en tant qu'indépendant, sous sa propre responsabilité professionnelle, si bien que la présente cause sera examinée uniquement au regard de la LPMéd.</w:t>
      </w:r>
    </w:p>
    <w:p>
      <w:r>
        <w:rPr>
          <w:b/>
        </w:rPr>
        <w:t>E. 2.2</w:t>
      </w:r>
    </w:p>
    <w:p>
      <w:r>
        <w:t>La LPMéd,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LPMéd).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ATA/987/2022 du 4 octobre 2022 consid. 5b ; ATA/941/2021 du 14 septembre 2021 consid. 7d et les références citées). L'art. 40 LPMéd prévoit que les personnes exerçant une profession médicale universitaire à titre d'activité économique privée sous leur propre responsabilité professionnelle doivent notamment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(let. a) ; garantir les droits du patient (let. c) ; observer le secret professionnel conformément aux dispositions applicables (let. f). L’art. 40 let. a LPMéd constitue une clause générale (FF 2005 p. 211).</w:t>
      </w:r>
    </w:p>
    <w:p>
      <w:r>
        <w:rPr>
          <w:b/>
        </w:rPr>
        <w:t>E. 2.3</w:t>
      </w:r>
    </w:p>
    <w:p>
      <w:r>
        <w:t>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w:t>
      </w:r>
    </w:p>
    <w:p>
      <w:r>
        <w:rPr>
          <w:b/>
        </w:rPr>
        <w:t>E. 2.4</w:t>
      </w:r>
    </w:p>
    <w:p>
      <w:r>
        <w:t>À titre liminaire, il sied de relever que, dans la décision entreprise, la commission n’a pas respecté l’arrêt de renvoi de la chambre administrative du 14 septembre 2021. Pour rappel, la chambre de céans avait retenu trois manquements professionnels à l’égard du recourant, à savoir le contenu du certificat médical du 9 février 2018, le signalement du patient par le recourant au service des véhicules pour défaut d'aptitude à la conduite, sans en discuter avec celui-là au préalable, ainsi que des contacts avec ledit office en tant que médecin-conseil, alors qu'il avait été le médecin traitant de l’intéressé. Or, quand bien même la commission n’avait aucune marge de manœuvre quant aux faits qui devaient faire l’objet de la mesure disciplinaire, comme l’a d’ailleurs relevé le Tribunal fédéral (arrêt 2C_814/2021 consid. 1.1.3), l’autorité intimée a considéré que le signalement du patient par le recourant au service des véhicules et les contacts avec ledit office en tant que médecin-conseil ne constituaient pas des manquements professionnels. Une telle décision apparaît ainsi contraire au principe de l’autorité de l’arrêt de renvoi. La chambre de céans est toutefois liée par l’interdiction de la reformatio in peius (art. 69 al. 1 LPA ; ATA/567/2015 du 2 juin 2015 et les références mentionnées), si bien qu’il ne sera pas revenu sur ces deux manquements disciplinaires.</w:t>
      </w:r>
    </w:p>
    <w:p>
      <w:r>
        <w:rPr>
          <w:b/>
        </w:rPr>
        <w:t>E. 2.5</w:t>
      </w:r>
    </w:p>
    <w:p>
      <w:r>
        <w:t>Le recourant reproche à l’autorité intimée d’avoir considéré que le contenu du certificat médical du 9 février 2018 devait faire l’objet d’une mesure disciplinaire. Or, comme indiqué, cet élément a déjà été examiné par la chambre administrative dans son arrêt du 14 septembre 2021. L’arrêt retenait en particulier que la mention du certificat médical du 9 février 2018, selon laquelle le « certificat ne serait pas reconduit au-delà du mois de février » n’était pas admissible. Soit le médecin estimait que l’incapacité n’était pas réelle – hypothèse pouvant être clairement écartée – et il ne devait pas fournir de certificat, soit l’inaptitude était présente et il ne pouvait, par avance et sans revoir le patient, indiquer qu’aucune prolongation dudit certificat ne serait justifiée. Cette affirmation était d’autant moins admissible que le médecin connaissait l’état de santé défaillant de son patient. Il n’avait du reste pas avancé de justification médicale soutenant son refus anticipé d’attester de toute éventuelle poursuite de l’incapacité de travail. Cette mention était en outre de nature à jeter le doute sur l’existence de l’incapacité de travail du patient à l’égard de tiers, à qui le document était destiné. Ainsi, en retenant que le recourant n’avait pas établi le certificat médical du 9 février 2018 avec toute la diligence requise et que celui-ci n’était pas conforme à la bonne pratique, l’autorité intimée s’est conformé à l’arrêt de renvoi. C’est le lieu de rappeler, comme l’a fait le Tribunal fédéral dans son arrêt du 28 avril 2022 ( 2C_814/2021 ), que la commission n’avait aucune marge de manœuvre quant aux faits qui devaient faire l’objet de la mesure disciplinaire, à savoir notamment le contenu du certificat médical du 9 février 2018. Elle devait en effet prononcer une sanction. Dans cette mesure, et conformément à la jurisprudence précitée, le recourant peut uniquement se plaindre de la sanction infligée. Il est ainsi forclos en tant qu’il revient sur les faits ayant fait l’objet de la mesure disciplinaire. Enfin, et en tant que le recourant se plaint de la « lenteur » de « l’interminable procédure », il ne formule aucun grief précis à cet égard. Or, même si la durée de la procédure apparaît longue, le recourant ne prétend pas s’être plaint de la durée de l’instruction, ni avoir mis l’autorité intimée en demeure de rendre une décision. Il n’est, pour le reste, pas contesté que la prescription de la poursuite disciplinaire n’est pas atteinte.</w:t>
      </w:r>
    </w:p>
    <w:p>
      <w:r>
        <w:rPr>
          <w:b/>
        </w:rPr>
        <w:t>E. 3</w:t>
      </w:r>
    </w:p>
    <w:p>
      <w:r>
        <w:t>Seule se pose donc la question de la quotité de la sanction.</w:t>
      </w:r>
    </w:p>
    <w:p>
      <w:r>
        <w:rPr>
          <w:b/>
        </w:rPr>
        <w:t>E. 3.1</w:t>
      </w:r>
    </w:p>
    <w:p>
      <w:r>
        <w:t>Au titre des mesures disciplinaires, l’art. 43 al. 1 LPMéd dispose qu’en cas de violation des devoirs professionnels, des dispositions de la loi ou de ses dispositions d’exécution, l’autorité de surveillance peut prononcer un avertissement (let. a) ; un blâme (let. b) ; une amende de CHF 20'000.- au plus (let. c) ; une interdiction de pratiquer sous propre responsabilité professionnelle pendant six ans au plus (interdiction temporaire ; let. d) ; une interdiction définitive de pratiquer sous propre responsabilité professionnelle pour tout ou partie du champ d’activité (let. e).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 La responsabilité disciplinaire est une responsabilité fondée sur la faute (ATF 148 I 1 consid. 12.2 et l’arrêt cité). Celle-ci joue un rôle décisif pour la fixation de la peine et donc dans l’analyse de la proportionnalité de la mesure. Il ne suffit donc pas qu’un comportement soit objectivement fautif (illicéité), c’est-à-dire contraire à une injonction, il faut aussi que l’auteur de l’acte puisse subjectivement se voir imputer un manquement fautif.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œuvre du droit disciplinaire (ATF 144 II 473 consid. 4.1 ; arrêts du Tribunal fédéral 2C_832/2017 du 17 septembre 2018 consid. 2.2 ; 2C_280/2017 du 4 décembre 2017 consid. 4.1.1). Cette règle ne saurait toutefois être comprise en ce sens que l’acte concerné doit revêtir une gravité qualifiée pour relever du droit disciplinaire. Certes, la mise en œuvre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(ATF 148 I 1 consid. 12.2).</w:t>
      </w:r>
    </w:p>
    <w:p>
      <w:r>
        <w:rPr>
          <w:b/>
        </w:rPr>
        <w:t>E. 3.2</w:t>
      </w:r>
    </w:p>
    <w:p>
      <w:r>
        <w:t>Le principe de la proportionnalité, garanti par l’art. 5 al. 2 de la Constitution fédérale de la Confédération suisse du 18 avril 1999 (Cst. - RS 101),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 269/2001 du 7 juin 2001 consid. 2c ; ATA/735/2013 du 5 novembre 2013 consid. 11).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 ATA/388/2022 précité consid. 7a).</w:t>
      </w:r>
    </w:p>
    <w:p>
      <w:r>
        <w:rPr>
          <w:b/>
        </w:rPr>
        <w:t>E. 3.3</w:t>
      </w:r>
    </w:p>
    <w:p>
      <w:r>
        <w:t>L’établissement d’un certificat médical par un médecin constitue une activité médicale qu’il doit exercer conformément à ses devoirs professionnels découlant de l’art. 40 LPMéd. Selon l’art. 34 du code de déontologie de la FMH, adopté par la chambre médicale suisse le 12 décembre 1996 (ci-après : le code de déontologie de la FMH),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Un tel document, qui atteste de l’état de santé d’un patient, est par définition un document rédigé par un médecin traitant afin d’être remis par celui-là à une tierce personne. Il doit être établi à la demande du patient ou, pour un mineur ou une personne incapable de discernement, de son représentant légal. Ledit certificat doit être fidèle, complet et le médecin doit le rédiger en toute liberté, sans subir de pression de son patient ni d’une autre source concernant son contenu complet ( ATA/172/2013 du 19 mars 2013 ; Dominique BERTRAND/Beat HORISBERGER/Timothy HARDING/Marinette UMMEL/Romano LA HARPE, Acte médical requis par une autorité, constat médical et certificat médical, in Dominique BERTRAND/Jean-François DUMOULIN/Romano LA HARPE/Marinette UMMEL, Médecin et droit médical, présentation et résolution de situations médicales légales, 3 e éd., Médecine et Hygiène 2009, p. 207). Le certificat doit au demeurant correspondre à la situation thérapeutique du patient. Un certificat médical est contraire à la vérité lorsqu’il dresse un tableau inexact de l’état de santé de la personne. Le médecin ne doit pas affirmer ce qui n’est que probable (Yves DONZALLAZ, Traité de droit médical, Vol. II : Le médecin et les soignants, 2021, p. 2487s.).</w:t>
      </w:r>
    </w:p>
    <w:p>
      <w:r>
        <w:rPr>
          <w:b/>
        </w:rPr>
        <w:t>E. 3.4</w:t>
      </w:r>
    </w:p>
    <w:p>
      <w:r>
        <w:t>En l’occurrence, la décision retient, pour seul manquement disciplinaire, le défaut de diligence dans l’établissement du certificat médical du 9 février 2018. Le recourant soutient qu’il s’agit d’une erreur « mineure » dans un dossier « lourd », qui n’avait pas porté préjudice à son patient. Il perd toutefois de vue que, selon la jurisprudence précitée,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Par ailleurs, et quoi qu’en dise le recourant, le fait de refuser de manière anticipée d'attester de toute éventuelle poursuite de l'incapacité de travail ne constitue pas un manquement très léger. C’est le lieu de rappeler que les certificats médicaux doivent correspondre à la situation thérapeutique du patient et être établis sur la base d’un examen soigneux et attentif ; les médecins ne doivent pas affirmer ce qui n’est que probable. Or, ainsi formulé, le document litigieux était de nature à jeter le doute sur l’existence d’une incapacité de travail ( ATA/941/2021 du 14 septembre 2021 consid. 9b). Ce manquement, qui ne saurait être qualifié de « formalité administrative », comme le fait le recourant, justifiait ainsi le prononcé d’une sanction disciplinaire, étant rappelé que la commission avait l'obligation d’en prononcer une (arrêt du Tribunal fédéral 2C_814/2021 du 28 avril 2022 consid. 1.1.3). Le fait que la sanction est susceptible de porter atteinte à sa réputation ne saurait primer sur l’intérêt à rendre le médecin attentif aux conséquences potentielles de son comportement. L’autorité intimée a ainsi dûment tenu compte des éléments en faveur du recourant en prononçant la sanction la plus légère du catalogue de l’art. 43 al. 1 LPMéd. La sanction apparaît même plutôt clémente, puisqu’elle ne tient pas compte des autres manquements retenus par la chambre de céans, lesquels devaient aussi faire l’objet d’une mesure disciplinaire (arrêt du Tribunal fédéral 2C_814/2021 du 28 avril 2022 consid. 1.1.3). Il découle de ce qui précède que le recours sera rejeté.</w:t>
      </w:r>
    </w:p>
    <w:p>
      <w:r>
        <w:rPr>
          <w:b/>
        </w:rPr>
        <w:t>E. 4</w:t>
      </w:r>
    </w:p>
    <w:p>
      <w:r>
        <w:t>Vu l'issue du litige, un émolument de CHF 500.- sera mis à la charge du recourant, qui succombe (art. 87 al. 1 LPA), et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