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A/2809/2021 vom 9. Mai 2023</w:t>
      </w:r>
    </w:p>
    <w:p>
      <w:r>
        <w:t>GE Cour de justice, 2023-05-09, FR</w:t>
      </w:r>
    </w:p>
    <w:p>
      <w:r>
        <w:rPr>
          <w:b/>
        </w:rPr>
        <w:t xml:space="preserve">Quelle: </w:t>
      </w:r>
      <w:r>
        <w:t>https://mcp.opencaselaw.ch/entscheid/ge_gerichte_A_2809_2021</w:t>
      </w:r>
    </w:p>
    <w:p>
      <w:r>
        <w:t>FR: GE_GERICHTE A/2809/2021 du 9 mai 2023</w:t>
      </w:r>
    </w:p>
    <w:p>
      <w:r>
        <w:t>IT: GE_GERICHTE A/2809/2021 del 9 maggio 2023</w:t>
      </w:r>
    </w:p>
    <w:p>
      <w:pPr>
        <w:pStyle w:val="Heading2"/>
      </w:pPr>
      <w:r>
        <w:t>Regeste</w:t>
      </w:r>
    </w:p>
    <w:p>
      <w:r>
        <w:t>Recours contre un jugement du TAPI confirmant une décision du département refusant de délivrer une autorisation de construire. L’autorisation préalable accordée en 2016 est devenue caduque à l’échéance d’un délai de deux ans en l’absence d’une demande de prolongation de validité. Le département était donc en droit d’examiner librement le nouveau projet soumis en 2019 et de s’écarter de son appréciation antérieure. Les recourants ne peuvent pas se prévaloir du respect de la bonne foi. Le projet de construction ne respecte pas la distance minimale de 15 m à la route communale, de sorte que l’octroi d’une dérogation est nécessaire. Le département a suivi le préavis négatif de la commune, qui a mis en évidence plusieurs motifs pertinents à l’encontre du choix d’implantation des bâtiments. L’OCAN a également émis un préavis négatif car le projet prévoyait l’abattage d’une quantité importante d’arbres sans compensation effective possible. La situation des bâtiments auxquels se réfèrent les recourants pour invoquer une violation du principe de l’égalité de traitement diffère nettement de celle du projet litigieux. Rejet du recours et confirmation du jugement du TAPI. | Cst.29.al2; Cst.5.al3; Cst.8; Cst.9; LCI.1.al1; LCI.3.al3; LCI.5.al6; LRoutes.11.al3; LPN.3; LPMNS.35; LPMNS.36.al1; LPMNS.36.al2.leta; RCVA.1; RCVA.15; RCVA.16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le bien-fondé du jugement du TAPI du 28 septembre 2022 rejetant le recours des requérants contre la décision du 24 juin 2021, par laquelle le département a refusé de leur délivrer l’autorisation de construire. ![endif]&gt;![if&gt;</w:t>
      </w:r>
    </w:p>
    <w:p>
      <w:r>
        <w:rPr>
          <w:b/>
        </w:rPr>
        <w:t>E. 3</w:t>
      </w:r>
    </w:p>
    <w:p>
      <w:r>
        <w:t>À titre préalable, les recourants sollicitent leur audition personnelle, celle de S_____ et une inspection locale.![endif]&gt;![if&gt;</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étant encore rappelé que la procédure administrative est en principe écrite (art. 18 LPA ; art. 41 LPA ; ATF 140 I 68 consid. 9.6 ; arrêts du Tribunal fédéral 1C_83/2019 du 29 janvier 2020 consid. 3.2 ; 2C_236/2019 du 4 juillet 2019 consid. 5.2).</w:t>
      </w:r>
    </w:p>
    <w:p>
      <w:r>
        <w:rPr>
          <w:b/>
        </w:rPr>
        <w:t>E. 3.2</w:t>
      </w:r>
    </w:p>
    <w:p>
      <w:r>
        <w:t>En l'espèce, la chambre de céans dispose d'un dossier complet, comprenant notamment les écritures des parties et toutes les pièces produites à leur appui. Les recourants ne soutiennent pas que leur audition ou celle de témoins apporteraient des éléments pertinents qui ne résulteraient pas déjà des documents versés à la procédure. En outre, les nombreux plans figurant au dossier, en particulier ceux de construction et d’arborisation, complétés en tant que de besoin par la consultation du Système d’information du territoire à Genève (SITG), permettent de se rendre compte de la situation de fait, de sorte qu’un transport sur place n’est pas utile. Partant, pour les mêmes motifs que ceux retenus par les premiers juges, la chambre de céans estime être en possession de tous les éléments nécessaires pour statuer en pleine connaissance de cause sur les griefs invoqués par les recourants. Il ne sera dès lors pas donné suite aux mesures d'instruction sollicitées.</w:t>
      </w:r>
    </w:p>
    <w:p>
      <w:r>
        <w:rPr>
          <w:b/>
        </w:rPr>
        <w:t>E. 4</w:t>
      </w:r>
    </w:p>
    <w:p>
      <w:r>
        <w:t>Les recourants invoquent une violation de leur droit d'être entendus et reprochent au département d’avoir rendu la décision litigieuse sans leur avoir au préalable communiqué les demandes de compléments de certaines instances de préavis.![endif]&gt;![if&gt; En l’occurrence, la décision de refus litigieuse se réfère aux préavis défavorables de l'OCAN et de la commune et est fondée sur le non-respect des art. 1, 14 et 16 RCVA, 3 LPN et 11 LRoutes. Par conséquent, compte tenu des motifs retenus pour refuser l'autorisation, le département pouvait, par économie de procédure et dans un but de célérité, ne pas transmettre aux recourants les demandes de compléments. Aucune violation du droit d'être entendu ne saurait donc être retenue.</w:t>
      </w:r>
    </w:p>
    <w:p>
      <w:r>
        <w:rPr>
          <w:b/>
        </w:rPr>
        <w:t>E. 5</w:t>
      </w:r>
    </w:p>
    <w:p>
      <w:r>
        <w:t>Les recourants font valoir une violation du principe de la bonne foi. Ils rappellent avoir obtenu une autorisation préalable le 15 février 2016 (DP 1_____), portant sur un projet pratiquement similaire, s'agissant en particulier des aspects ayant motivé la décision de refus, à savoir en lien avec l'abattage d'arbres et la distance de la route. ![endif]&gt;![if&gt;</w:t>
      </w:r>
    </w:p>
    <w:p>
      <w:r>
        <w:rPr>
          <w:b/>
        </w:rPr>
        <w:t>E. 5.1</w:t>
      </w:r>
    </w:p>
    <w:p>
      <w:r>
        <w:t>Le principe de la bonne foi est consacré par l'art. 5 al. 3 Cst, qui dispose que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![endif]&gt;![if&gt; Selon la jurisprudence, un renseignement ou une décision erronés de l'administration peuvent obliger celle-ci à consentir à un administré un avantage contraire à la réglementation en vigueur, à condition que : l'autorité soit intervenue dans une situation concrète à l'égard de personnes déterminées, qu'elle ait agi ou soit censée avoir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arrêt du Tribunal fédéral 1C_307/2019 du 3 avril 2020 consid. 5.1). Le droit à la protection de la bonne foi peut aussi être invoqué en présence d'un simple comportement de l'administration, notamment en cas de silence de l'autorité dans une situation de fait contraire au droit, pour autant que celui-ci soit susceptible d'éveiller chez l'administré une attente ou une espérance légitime (ATF 129 II 361 consid. 7.1). L'administré doit donc avoir eu des raisons sérieuses d'interpréter comme il l'a fait le comportement de l'administration et d'en déduire les conséquences qu'il en a tirées (arrêt du Tribunal fédéral 1C_307/2019 du 3 avril 2020 consid. 5.1).</w:t>
      </w:r>
    </w:p>
    <w:p>
      <w:r>
        <w:rPr>
          <w:b/>
        </w:rPr>
        <w:t>E. 5.2</w:t>
      </w:r>
    </w:p>
    <w:p>
      <w:r>
        <w:t>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d).![endif]&gt;![if&gt; L’art. 4 LCI prévoit notamment que l’autorisation est caduque si les travaux ne sont pas entrepris dans les deux ans qui suivent sa publication dans la FAO (al. 5). Lorsque la demande en est présentée un mois au moins avant l’échéance du délai fixé à l’alinéa précédent, le département peut prolonger d’une année la validité de l’autorisation de construire ; dans ce cas, la présentation des pièces prévues à l’art. 2 al. 2 n’est pas exigible (al. 7). Sous réserve de circonstances exceptionnelles, l'autorisation ne peut être prolongée que deux fois (al. 8). La décision accordant une prolongation est publiée dans la Feuille d'avis officielle (al. 9). En vertu de l’art. 5 LCI, la demande préalable tend à obtenir du département une réponse sur l'implantation, la destination, le gabarit, le volume et la dévestiture du projet présenté (al. 1). La réponse à la demande préalable régulièrement publiée vaut décision et déploie les effets prévus aux art. 3, 5 al. 1 et 146 de la loi (al. 5). L'autorisation préalable est caduque si la demande définitive n'est pas présentée dans le délai de deux ans à compter de sa publication dans la FAO. L'art. 4 al. 7, 8 et 9, est applicable par analogie (al. 6).</w:t>
      </w:r>
    </w:p>
    <w:p>
      <w:r>
        <w:rPr>
          <w:b/>
        </w:rPr>
        <w:t>E. 5.2.1</w:t>
      </w:r>
    </w:p>
    <w:p>
      <w:r>
        <w:t>L'autorisation préalable d'implantation a été créé pour garantir à la procédure d'autorisation de construire un déroulement par étapes,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(ATF 135 II 30 ; arrêt du Tribunal fédéral 1C_40/2012 du 14 février 2012). En déposant une telle demande préalable,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(arrêt du Tribunal fédéral 1C 588/2016 26 octobre 2017 consid. 2.3).![endif]&gt;![if&gt; L'art. 5 al. 6 LCI prévoit la caducité de l'autorisation préalable lorsqu'elle est n'est pas suivie d'une demande d'autorisation de construire dans les deux ans qui suivent sa publication. Cette limitation dans le temps tend à confirmer qu'une telle décision n'est pas vouée à rester en force sur le long terme (arrêt du Tribunal fédéral 1C_74/2021 , 1C_76/2021 du 24 janvier 2022 consid. 6.2).</w:t>
      </w:r>
    </w:p>
    <w:p>
      <w:r>
        <w:rPr>
          <w:b/>
        </w:rPr>
        <w:t>E. 5.2.2</w:t>
      </w:r>
    </w:p>
    <w:p>
      <w:r>
        <w:t>Le permis d'implantation confère temporairement force de chose décidée aux éléments qu'il contient, ce qui a pour effet d'empêcher que ces éléments soient remis en cause à l'occasion du permis de construire. C'est en cela qu'il contribue à la sécurité du droit. En statuant sur une demande préalable d'implantation, l'autorité communale doit trancher des questions de principe liées à l'édification de la construction, en particulier le droit de construire, l'emplacement, le type d'ouvrage et les rapports de surface. L'autorisation de construire doit être délivrée si la demande en est faite dans le délai de deux ans et si le projet de construction est conforme aux conditions fixées par le permis d'implantation. Si le propriétaire laisse son permis d'implantation se périmer ou s'il présente un projet qui ne respecte pas les conditions fixées par cette autorisation préalable ou qui diffère du projet faisant l'objet de l'autorisation, l'autorité communale, le cas échéant l'autorité de recours, examine librement toutes les questions que soulève le projet sans être liée par le permis d'implantation initial. L'autorisation préalable ne lie la municipalité lors de la procédure définitive de permis de construire que dans la mesure où la situation de fait et de droit déterminante qui a conduit à son octroi reste pour l'essentiel inchangée (arrêt du Tribunal administratif du canton de Vaud AC.2016.0015 du 23 août 2016, in RDAF 2017 I p. 104 ss). ![endif]&gt;![if&gt; S’agissant de l’autorisation de construire, la caducité est la conséquence de l'absence de travaux dans le délai mentionné à l'art. 4 al. 5 LCI, ce délai étant un délai de péremption (arrêt du Tribunal fédéral 1A.150/2001 du 31 janvier 2002 consid. 1.1.3 ; ATA/247/2013 du 16 avril 2013 consid. 4b). Selon la doctrine, pour des motifs de stabilisation juridique, les législations prévoient souvent un délai dans lequel le permis de construire doit être utilisé ; il s'agit d'éviter qu'un propriétaire ne puisse indéfiniment opposer l'autorisation qu'il a reçue à un changement de réglementation. De plus, le juge doit examiner d'office si ce droit est périmé (Pierre MOOR/Etienne POLTIER, Droit administratif, vol. 2, 3 e éd., 2011, p. 102-104 ; ATA/308/2021 du 9 mars 2021 consid. 4b). Selon la jurisprudence, l'intérêt au respect de l'autorité de la chose jugée et de la bonne foi n'est pas pertinent lorsque l'autorisation de construire est devenue caduque (arrêts du Tribunal fédéral 1C_273/2021 du 28 avril 2022, 1C_587/2017 du 19 mars 2018).</w:t>
      </w:r>
    </w:p>
    <w:p>
      <w:r>
        <w:rPr>
          <w:b/>
        </w:rPr>
        <w:t>E. 5.3</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147 V 35 consid. 7.1 ; arrêt du Tribunal fédéral 1C_686/2020 du 12 mai 2021 consid. 2.1.2). Le Tribunal fédéral adopte une position pragmatique en suivant ces différentes interprétations, sans les soumettre à un ordre de priorité (ATF 147 III 78 consid. 6.4). Il ne se fonde sur la compréhension littérale du texte que s’il en découle sans ambiguïté une solution matériellement juste (ATF 146 IV 249 consid. 1.3). Enfin, si plusieurs interprétations sont admissibles, il faut choisir celle qui est conforme à la Constitution (ATF 144 III 58 consid. 4.1.3.1) ou plus généralement au droit supérieur (ATF 146 V 87 consid. 8.2.2). ![endif]&gt;![if&gt;</w:t>
      </w:r>
    </w:p>
    <w:p>
      <w:r>
        <w:rPr>
          <w:b/>
        </w:rPr>
        <w:t>E. 5.4</w:t>
      </w:r>
    </w:p>
    <w:p>
      <w:r>
        <w:t>En l'espèce, l'autorisation préalable DP 1_____, publiée dans la FAO le 19 février 2016, n'a fait l'objet d'aucune demande de prolongation de validité et est ainsi devenue caduque à l'échéance d'un délai de deux ans, soit le 20 février 2018. Les recourants ne le contestent pas. ![endif]&gt;![if&gt; La jurisprudence relative à l’art. 4 al. 5 LCI qui concerne les autorisations de construire ordinaires peut s'appliquer mutatis mutandis à l’art. 5 al. 6 LCI en matière d’autorisation préalable, ces deux dispositions prévoyant dans des termes identiques la caducité de l’autorisation délivrée en l’absence de certaines démarches dans un délai de deux ans suivant la publication dans la FAO, et ce dans un même but, soit celui de ne pas permettre à l’autorisation de demeurer en force sur le long terme. Partant, les recourants ayant laissé leur autorisation préalable se périmer, celle-ci a perdu toute validité. Le département n’était donc plus lié par la DP 1_____ lorsque les recourants ont déposé le 8 novembre 2019 la première version de la DD 2_____. Que cette dernière soit similaire au projet autorisé à titre préalable est sans pertinence, puisque les éléments fixés dans la DP 1_____ ont perdu leur autorité de chose décidée avec la caducité de l'autorisation. Le département était donc en droit d’examiner librement toutes les questions soulevées par le nouveau projet et à s’écarter de son appréciation antérieure. Le TAPI a donc jugé à bon droit que les recourants ne pouvaient se prévaloir du respect de la bonne foi, puisque l'autorisation était devenue caduque. À toutes fins utiles, il sera rappelé que les recourants auraient pu solliciter la prolongation de l’autorisation préalable et que le département, pas plus que la commune, ne leur ont délivré d’information erronée ni n’ont adopté un comportement propre à les tromper. Ils n’ont jamais émis l'assurance qu'ils conserveraient la même appréciation au-delà de la période de validité de la demande préalable. Au contraire, l’autorisation préalable mentionnait déjà être délivrée à certaines conditions, dont celle d’observer les directives contenues dans certains préavis, notamment celui de l’OCAN du 23 septembre 2013, lequel était favorable sous réserve qu’un PAP complet soit soumis lors de la demande définitive démontrant, entre autres, la conservation valable de la végétation en place et la plantation projetée compensant les arbres devant être sacrifiés à la construction. Le département était donc fondé à procéder à un nouvel examen global du projet, en tenant compte des nouvelles positions de l'OCAN et de la commune, et ce même en l’absence de tout changement législatif. Partant, le principe de la bonne foi n'a pas été violé.</w:t>
      </w:r>
    </w:p>
    <w:p>
      <w:r>
        <w:rPr>
          <w:b/>
        </w:rPr>
        <w:t>E. 6</w:t>
      </w:r>
    </w:p>
    <w:p>
      <w:r>
        <w:t>Les recourants invoquent une violation du principe de proportionnalité dans le cadre de l’application de l’art. 11 LRoutes, d’une part, et de l’art. 3 al. 2 LPN et des prescriptions du RCVA, d’autre part.![endif]&gt;![if&gt;</w:t>
      </w:r>
    </w:p>
    <w:p>
      <w:r>
        <w:rPr>
          <w:b/>
        </w:rPr>
        <w:t>E. 6.1</w:t>
      </w:r>
    </w:p>
    <w:p>
      <w:r>
        <w:t>Ils soutiennent que la pesée des intérêts en présence aurait dû conduire à l’octroi d’une dérogation selon l’art. 11 al. 3 LRoutes. Selon eux, cette dernière s’appliquait notamment si un élargissement des voies publiques paraissait peu probable. De plus, plusieurs bâtiments étaient implantés à une distance inférieure à 15 m du chemin de la Naz et la ratio legis de la dérogation résidait précisément dans le fait de permettre à un projet de respecter un alignement des constructions existantes, lorsqu’un élargissement de la route paraissait illusoire. Les considérations relatives à l’impact sur le contexte urbain et paysager, les nuisances causées au voisinage, la densité et le gabarit, ou encore l’impact sur l’ensoleillement n’avaient jamais été soulevées dans le cadre de la demande préalable. Cela étant, leur projet n’aurait qu’un très faible impact sur l’ensoleillement et sa densité respecterait les limitations en vigueur. Il n’y avait aucun intérêt public justifiant le refus de la dérogation. Même si tel avait été le cas, leurs intérêts étaient à tout le moins prépondérants, compte tenu de la perte de valeur de leur terrain qui serait alors minconstructible et des frais déjà engagés. ![endif]&gt;![if&gt;</w:t>
      </w:r>
    </w:p>
    <w:p>
      <w:r>
        <w:rPr>
          <w:b/>
        </w:rPr>
        <w:t>E. 6.1.1</w:t>
      </w:r>
    </w:p>
    <w:p>
      <w:r>
        <w:t>L’art. 3 al. 3 LCI prévoit notamment que les demandes d’autorisation sont soumises, à titre consultatif, au préavis des communes, des départements et des organismes intéressés. L’autorité de décision n’est pas liée par ces préavis. ![endif]&gt;![if&gt;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w:t>
      </w:r>
    </w:p>
    <w:p>
      <w:r>
        <w:rPr>
          <w:b/>
        </w:rPr>
        <w:t>E. 6.1.2</w:t>
      </w:r>
    </w:p>
    <w:p>
      <w:r>
        <w:t>Selon l’art. 11 LRoutes, aucune nouvelle construction ou installation, tant en sous-sol qu’en élévation, ne peut être édifiée entre les voies publiques et les alignements de construction fixés par les plans d’alignement, adoptés conformément aux art. 5 et 6 de la loi sur l’extension des voies de communication et l’aménagement des quartiers ou localités, du 9 mars 1929 (LExt - L 1 40) ou par tous autres plans d’affectation du sol au sens des articles 12 ou 13 de la loi d’application de la loi fédérale sur l’aménagement du territoire du 4 juin 1987 (LaLAT - L 1 30 ; .al. 1). À défaut de plan d’alignement, cette interdiction s’étend sur une profondeur, mesurée de l’axe de la route, de 25 m pour les routes cantonales et de 15 m pour les routes communales. S’il existe un plan de correction, cette distance se mesure de l’axe rectifié de la voie (al. 2). Le département, après consultation de la commune, peut déroger aux distances prescrites à l’al. 2 si les conditions locales font apparaître que l’interdiction de construire qui en découle ne repose sur aucun motif pertinent d’aménagement du territoire ou d’environnement (al. 3).![endif]&gt;![if&gt;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ATA/193/2023 du 28 février 2023 consid. 7.2 ; ATA/1547/2017 du 28 novembre 2017 consid. 5c et les références citées).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ATA/193/2023 du 28 février 2023 consid. 7.2 ; ATA/1101/2022 du 1 er novembre 2022 consid. 5e ; ATA/95/2022 du 1 er février 2022 consid. 7d ; ATA/639/2020 du 30 juin 2020 consid. 4d).</w:t>
      </w:r>
    </w:p>
    <w:p>
      <w:r>
        <w:rPr>
          <w:b/>
        </w:rPr>
        <w:t>E. 6.1.3</w:t>
      </w:r>
    </w:p>
    <w:p>
      <w:r>
        <w:t>En l’occurrence, il est admis que l’autorisation de construire sollicitée requiert l’octroi d’une dérogation au sens de l’art. 11 al. 3 LRoutes, dérogation qui peut être accordée si les conditions locales font apparaître que l’interdiction de construire ne repose sur aucun motif pertinent d’aménagement du territoire ou d’environnement. La question d’un éventuel élargissement des voies publiques n’est donc pas décisive. ![endif]&gt;![if&gt; Comme constaté par le TAPI, il ne saurait être retenu que les bâtiments voisins cités par les recourants forment une ligne structurante forte constitutive d'un alignement de fait. En effet, il ressort clairement des plans versés au dossier et des photographies aériennes du SITG que les immeubles situés sur cette partie du chemin de la Naz, à savoir l'immeuble n° 9_____ et la cabine SIG (bâtiment n° 3_____) sis sur la parcelle n° 2'796, et la villa localisée du côté opposé du chemin de la Naz (bâtiment n° 4_____) sur la parcelle n° 2'798, ne sont pas alignés sur une même ligne droite et ne marquent pas de front visible permettant d'y situer un alignement de constructions existantes. En outre, ces immeubles sont effectivement de typologie différente. La décision litigieuse, par laquelle le département a décidé de suivre le préavis défavorable de la commune, laquelle est l'instance compétente au sens de l'art. 11 al. 3 LRoutes, n’apparaît donc pas critiquable. Dans son préavis du 17 décembre 2020, la commune a dûment motivé les raisons pour lesquelles elle émettait un préavis négatif. Elle a notamment observé que le projet prévoyait la densification excessive d'un ensemble résidentiel déjà amplement construit et impactait trop lourdement un secteur fragile, de grande sensibilité urbaine et paysagère. L'IUS final était de 0.99. La densité de l’opération était sans commune mesure par rapport aux densités existantes dans le quartier sur cette même zone qui était en outre d’affection rurale. Le projet nuirait, en raison de son gabarit et de son choix d'implantation, aux points de vue accessibles au public et impacterait l'ensoleillement des logements existants situés à proximité directe, en supprimant le dégagement sur le parc actuel. Les bâtiments se feraient front, celui existant se retrouverait en contre-bas du nouveau et subirait un effet d'encaissement pour les logements en rez-de-jardin. La cour se retrouverait dans l’ombre quasi permanente sauf en plein été avec alors le risque de surchauffe de l’espace enclavé. En outre, le projet prévoyait d’abattre onze arbres majeurs, sacrifiant un jardin, pièce maîtresse de la valeur paysagère, patrimoniale et structurante du quartier, alors que la partie des parcelles destinée à accueillir le projet était la seule de l'ensemble résidentiel à offrir actuellement une arborisation, qui était de qualité déterminante et servait de frange et de filtre à l'urbanisation en bordure de la zone agricole. Ces arbres, dont certains étaient cinquantenaires, constituaient un habitat pour la petite faune. En outre, l’ampleur du parking débordant en sous-sol et les 20 à 30 cm de remblai prévu sur la dalle du parking réduisaient presque à néant la surface en plein terre, de sorte que les possibilités de plantation étaient réduites. Ainsi, des arbustes étaient prévus à la place d’arbres majeurs et ils connaîtraient des conditions de croissance limitée, de sorte qu’ils ne pourraient pas permettre de reconstituer l’équivalent des sujets existants, même dans 50 ans. Le projet était déficitaire en termes de places de stationnement pour les motos et vélos, et l’implantation de l’essentiel des places vélos en sous-sol n’était pas favorable à l’utilisation au quotidien. Le projet risquerait également de provoquer un encombrement du trafic débordant sur le chemin de la Naz et de compromettre la sécurité des piétons. Elle a ainsi mis en évidence plusieurs motifs pertinents à l’encontre du choix d’implantation des bâtiments, soit en défaveur de l’octroi d’une dérogation. Les recourants ne font valoir aucun argument permettant de douter de la pertinence de cette analyse. Que l’IUS final soit porté avec leur projet à 0.93 comme ils le calculent, ou à 0.99 comme retenu par la commune, représente une minime différence qui n’est pas susceptible de remettre en cause la densification excessive retenue par la commune. Les recourants ne prétendent d’ailleurs pas que le département se serait livré à une appréciation insoutenable, qu’il aurait négligé des facteurs décisifs ou encore qu’il se serait laissé guider pas des considérations étrangères au but de la loi. Que des autorités de préavis, dont l’OCT, n’aient formulé aucune remarque n’est pas pertinent. Il en va de même du fait que certaines considérations n’aient pas été soulevées au stade de la demande préalable, la DP 1_____ étant devenue caduque. L’intérêt économique des recourants ne justifie pas l’octroi de la dérogation sollicitée, eu égard aux intérêts publics et privé en présence. Contrairement à ce qu’ils soutiennent, le refus d’autorisation de construire ne saurait être assimilé à une expropriation, étant rappelé que leurs parcelles sont déjà construites. Enfin, les autres projets autorisés évoqués par les recourants dans leur argumentation au sujet de la proportionnalité, soit les DD 5_____ (parcelles n os 2'558, 2'559 et 2’560), DD 6_____ (parcelle n° 2'599) et DD 7_____ (parcelles n os 8'119 et 8'120), ne sont pas comparables car ils ne se situent pas en bordure de la zone agricole. Leur implantation est prévue à proximité des principaux axes routiers traversant le village (route d’Aïre-la-Ville, chemin des Saules, rue de Bernex) et ils respectent un alignement de fait. On relèvera encore que le premier de ces projets est situé très près d’un bâtiment de grand gabarit (école de Luchepelet) et que le deuxième prévoit un immeuble de typologie similaire aux constructions existantes sur les parcelles contiguës, dont il respecte l'alignement en escalier. Enfin, la commune a exposé que ces projets ne présentaient pas d'enjeux paysagers et ne requéraient pas d’abattre une quantité importante d’arbres. Partant, le grief de violation du principe de proportionnalité doit être écarté s’agissant de l’application de la LRoutes.</w:t>
      </w:r>
    </w:p>
    <w:p>
      <w:r>
        <w:rPr>
          <w:b/>
        </w:rPr>
        <w:t>E. 6.2</w:t>
      </w:r>
    </w:p>
    <w:p>
      <w:r>
        <w:t>Les recourants font ensuite valoir que leur projet de construction respectait les prescriptions imposées par le RCVA, que le PAP, établi par un professionnel, prévoyait des mesures compensatoires adéquates et suffisantes, avec la plantation de 25 arbres dont 20 en pleine terre dont rien ne permettait de retenir qu’ils ne pourraient pas atteindre leur taille adulte. Ils reprochent également à la commune de s’être basée sur des éléments du plan directeur communal qui n’était pas encore en vigueur.![endif]&gt;![if&gt;</w:t>
      </w:r>
    </w:p>
    <w:p>
      <w:r>
        <w:rPr>
          <w:b/>
        </w:rPr>
        <w:t>E. 6.2.1</w:t>
      </w:r>
    </w:p>
    <w:p>
      <w:r>
        <w:t>Conformément à l’art. 3 LPN,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(al. 1). Ils s’acquittent de ce devoir, notamment, en attachant des charges ou des conditions aux autorisations et aux concessions, ou en refusant celles-ci (al. 2 let. a ; art. 2 let. b). Ce devoir existe quelle que soit l’importance de l’objet au sens de l’art. 4. Une mesure ne doit cependant pas aller au-delà de ce qu’exige la protection de l’objet et de ses environs (al. 3). ![endif]&gt;![if&gt; La loi sur la protection des monuments, de la nature et des sites du 4 juin 1976 (LPMNS - L 4 05) a notamment pour but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soit notamment les espèces végétales. Il peut n’autoriser que sous condition ou même interdire l'abattage, l’élagage ou la destruction de certaines essences d’arbres, de cordons boisés, de boqueteaux, buissons ou de haies vives (art. 36 al. 2 let. a LPMNS).</w:t>
      </w:r>
    </w:p>
    <w:p>
      <w:r>
        <w:rPr>
          <w:b/>
        </w:rPr>
        <w:t>E. 6.2.2</w:t>
      </w:r>
    </w:p>
    <w:p>
      <w:r>
        <w:t>En application de cette disposition, le Conseil d'État a adopté le RCVA, qui a pour but d'assurer la conservation, à savoir la protection, le maintien et le renouvellement, de la végétation formant les éléments majeurs du paysage (art. 1 RCVA). Il est notamment applicable aux arbres situés en dehors de la forêt, telle que définie à l'art. 2 de la loi sur les forêts du 20 mai 1999 (LForêts - M 5 10), ainsi qu'aux haies vives et boqueteaux présentant un intérêt biologique ou paysager (art. 2 al. 1 RCVA).![endif]&gt;![if&gt; Selon l’art. 3 al. 1 RCVA, aucun arbre ne peut être abattu ou élagué, ni aucune haie vive ou aucun boqueteau coupé ou défriché, sans autorisation préalable du département, sous réserve de l’al. 2, non pertinent en l'occurrence. En application de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À teneur de l’art. 15 RCVA, l'autorisation d'abattage d'arbres ou de défrichage de haies vives et de boqueteaux est assortie, en principe, de l'obligation de réaliser des mesures compensatoires (al. 1). Une valeur de remplacement est attribuée aux végétaux dont l'abattage ou le défrichage est autorisé (al. 2). L’art. 16 RCVA dispose que le département édicte des directives en matière de sauvegarde des végétaux maintenus, de leur mise en valeur et de l’exécution correcte des mesures compensatoires. Selon les art. 1, 4, 16 et 17 RCVA en lien avec les art. 7, 9 et 10B du règlement d’application de la loi sur les constructions et les installations diverses du 27 février 1978 (RCI - L 5 05.01), un PAP est imposé par l’autorité compétente dans le cas de construction à proximité d’arbres conservés ou de fort impact sur la végétation existante.</w:t>
      </w:r>
    </w:p>
    <w:p>
      <w:r>
        <w:rPr>
          <w:b/>
        </w:rPr>
        <w:t>E. 6.2.3</w:t>
      </w:r>
    </w:p>
    <w:p>
      <w:r>
        <w:t>La directive d'août 2008 concernant la conservation des arbres (ci-après : la directive) précise les règles décisionnelles en matière de conservation du patrimoine arboré et vise à assurer la protection des arbres en place et simultanément le renouvellement du patrimoine arboré (art. 1 de la directive). La décision de maintenir un arbre est prise lorsque l’intérêt de maintien prime sur les motifs d’abattage. La décision d'abattage est prise seulement si des motifs valables empêchent le maintien de l'arbre (art. 2 de la directive). Les critères de maintien sont évalués en relation directe avec l'espèce par une personne qualifiée du département du territoire (art. 2.1 de la directive). ![endif]&gt;![if&gt;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 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ATA/552/2013 du 27 août 2013 consid. 4d).</w:t>
      </w:r>
    </w:p>
    <w:p>
      <w:r>
        <w:rPr>
          <w:b/>
        </w:rPr>
        <w:t>E. 6.2.4</w:t>
      </w:r>
    </w:p>
    <w:p>
      <w:r>
        <w:t>En l'espèce, l'OCAN, instance compétente dans ce domaine et qui est le mieux à même de prendre en considération tous les paramètres spécifiques, s'est déclaré défavorable au projet. Il a souligné que ce dernier prévoyait l'abattage d'une quantité importante d'arbres présentant une bonne qualité sanitaire et que la suppression de ces végétaux impliquait un fort impact sur l'image paysagère environnante (préavis du 12 décembre 2019), et que le projet de replantation prévu selon le PAP du 13 novembre 2020 ne permettrait pas aux arbres d'atteindre leur taille adulte (préavis du 7 janvier 2021). De plus, la commune a expliqué que le projet, en raison des arbres à abattre, sacrifiait un jardin, qu’elle a qualifié de « pièce maîtresse de la valeur paysagère, patrimoniale et structurante du quartier » (préavis du 17 décembre 2020).![endif]&gt;![if&gt; À l’instar du TAPI, la chambre de céans constate que les recourants ne font pas valoir d’arguments propres à démontrer que l'analyse de l'OCAN aurait été effectuée de manière irrégulière ou qu’elle serait fondée sur des considérations arbitraires ou étrangères au but poursuivi par le RCVA. Contrairement à ce qu’ils soutiennent, les documents sur lesquels le département s’est basé expliquent les raisons pour lesquelles une absence de compensation effective possible a été retenue. Il ressort en effet du préavis de la commune que l’ampleur du parking en sous-sol et les 20 à 30 cm de remblai prévu sur sa dalle réduisaient presque à néant la surface en pleine terre, et donc les possibilités de plantation. Elle a observé que des arbustes étaient prévus à la place d’arbres majeurs et que leur croissance serait limitée. Ils ne pourraient pas permettre de reconstituer l’équivalent des sujets existants, même dans 50 ans. Le département, en suivant les préavis de la commune et de l’OCAN,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Dans ces conditions, le grief de violation du principe de proportionnalité doit également être écarté concernant l’application de l’art. 3 al. 2 LPN et des prescriptions du RCVA.</w:t>
      </w:r>
    </w:p>
    <w:p>
      <w:r>
        <w:rPr>
          <w:b/>
        </w:rPr>
        <w:t>E. 7</w:t>
      </w:r>
    </w:p>
    <w:p>
      <w:r>
        <w:t>Enfin, les recourants allèguent une violation du principe d'égalité de traitement dans la mesure où de multiples bâtiments voisins dérogeaient à la distance limite de 15 m applicable dans des conditions tout à fait similaires à leur projet. Ainsi, la cabine SIG n° 3_____ était implantée à moins de 5 m de l'axe du chemin de la Naz, le bâtiment n° 9_____ se trouvait à environ 8 m de l'axe du chemin et le bâtiment n° 4_____ était implanté à une distance d’environ 10 m. La distance minimale ne semblait pas non plus être respectée pour le bâtiment n° 8_____, localisé sur la parcelle n° 2'800, étant encore relevé que certains de ces projets avaient été autorisés très récemment, le dernier en août 2022. Le TAPI avait exclu l’existence d’une situation « identique », mais le principe d’égalité de traitement trouvait son application dans des situations similaires déjà. ![endif]&gt;![if&gt;</w:t>
      </w:r>
    </w:p>
    <w:p>
      <w:r>
        <w:rPr>
          <w:b/>
        </w:rPr>
        <w:t>E. 7.1</w:t>
      </w:r>
    </w:p>
    <w:p>
      <w:r>
        <w:t>La protection contre l'arbitraire et celle de l'égalité de traitement (art. 8 Cst.) sont étroitement liées. ![endif]&gt;![if&gt; Une décision est arbitraire (art. 9 Cst.), lorsqu'elle contredit clairement la situation de fait, viole gravement une norme ou un principe juridique clair et indiscuté, heurte d'une manière choquante le sentiment de la justice et de l'équité, ne repose pas sur des motifs sérieux et objectifs ou n'a ni sens ni but.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w:t>
      </w:r>
    </w:p>
    <w:p>
      <w:r>
        <w:rPr>
          <w:b/>
        </w:rPr>
        <w:t>E. 7.2</w:t>
      </w:r>
    </w:p>
    <w:p>
      <w:r>
        <w:t>En l'espèce, les bâtiments auxquels se réfèrent les recourants ne se trouvent pas dans une situation similaire à celle du projet litigieux. Les bâtiments n° 4_____ et 8_____ sont des habitations à un seul logement et de dimensions bien plus modestes que celle du projet litigieux. Le bâtiment n° 3_____ est une cabine SIG, soit un établissement de droit public SIG, d’un tout autre gabarit. Enfin, le bâtiment n° 9_____, sis sur la parcelle n° 2'796, soit l’une de celles comprises dans le projet, est un immeuble villageois, mais il a été construit entre 1961 et 1970 selon les informations publiées sur le site SITG et il ne fait pas front à d’autres habitations. Il ne se trouve pas non plus sur le même tronçon du chemin de la Naz que le projet des recourants et n'impacte pas le même contexte paysager et urbain.![endif]&gt;![if&gt; Ainsi, la situation des bâtiments évoqués par les recourants diffère nettement de celle du projet litigieux. Partant, le grief de violation du principe d'égalité de traitement doit être écarté. En tous points infondé, le recours doit être rejeté.</w:t>
      </w:r>
    </w:p>
    <w:p>
      <w:r>
        <w:rPr>
          <w:b/>
        </w:rPr>
        <w:t>E. 8</w:t>
      </w:r>
    </w:p>
    <w:p>
      <w:r>
        <w:t>Vu l’issue du litige, un émolument de CHF 1'500.- sera mis à la charge conjointe des recourants (art. 87 al. 1 LPA). Aucune indemnité de procédure ne sera allouée à la commune et aux habitants voisins, qui n’y concluent pas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