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A/2809/2017 vom 5. Dezember 2017</w:t>
      </w:r>
    </w:p>
    <w:p>
      <w:r>
        <w:t>GE Cour de justice, 2017-12-05, FR</w:t>
      </w:r>
    </w:p>
    <w:p>
      <w:r>
        <w:rPr>
          <w:b/>
        </w:rPr>
        <w:t xml:space="preserve">Quelle: </w:t>
      </w:r>
      <w:r>
        <w:t>https://mcp.opencaselaw.ch/entscheid/ge_gerichte_A_2809_2017</w:t>
      </w:r>
    </w:p>
    <w:p>
      <w:r>
        <w:t>FR: GE_GERICHTE A/2809/2017 du 5 décembre 2017</w:t>
      </w:r>
    </w:p>
    <w:p>
      <w:r>
        <w:t>IT: GE_GERICHTE A/2809/2017 del 5 dicembre 2017</w:t>
      </w:r>
    </w:p>
    <w:p>
      <w:pPr>
        <w:pStyle w:val="Heading2"/>
      </w:pPr>
      <w:r>
        <w:t>Erwägungen</w:t>
      </w:r>
    </w:p>
    <w:p>
      <w:r>
        <w:rPr>
          <w:b/>
        </w:rPr>
        <w:t>E. 1</w:t>
      </w:r>
    </w:p>
    <w:p>
      <w:r>
        <w:t>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w:t>
      </w:r>
    </w:p>
    <w:p>
      <w:r>
        <w:rPr>
          <w:b/>
        </w:rPr>
        <w:t>E. 2</w:t>
      </w:r>
    </w:p>
    <w:p>
      <w:r>
        <w:t>L’autorité compétente peut renoncer à exiger la restitution sur demande de l’intéressé, lorsque celui-ci est de bonne foi et que la restitution le mettrait dans une situation financière difficile.</w:t>
      </w:r>
    </w:p>
    <w:p>
      <w:r>
        <w:rPr>
          <w:b/>
        </w:rPr>
        <w:t>E. 3</w:t>
      </w:r>
    </w:p>
    <w:p>
      <w:r>
        <w:t>Le droit de demander la restitution s'éteint un an après le moment où l'autorité compétente a eu connaissance du fait, mais au plus tard cinq ans après le versement de la prestation ». Cette disposition reprend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même s’il paraît laisser un pouvoir d’appréciation à l’autorité lorsque les deux conditions d’une remise sont remplies (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7.        La bonne foi doit faire l’objet d’un examen minutieux dans chaque cas particulier. ![endif]&gt;![if&gt;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La bonne foi doit être niée quand l'enrichi pouvait, au moment du versement, s'attendre à son obligation de restituer, parce qu'il savait ou devait savoir, en faisant preuve de l'attention requise, que la prestation était indue (art. 3 al. 2 CC; ATF 130 V 414 consid. 4.3 p. 419 sv ; art. 3 al. 2 CC; Gilles PETITPIERRE in: THÉVENOZ/WERRO, Commentaire romand, Code des obligations I, n. 5 ad art. 62, n. 9 ad art. 64; HERMANN SCHULIN in: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8.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l’employeur qui était au bénéfice d’une ARE du 1 er avril 2015 au 31 mars 2016, a résilié le contrat de travail de son employé le 24 mars 2016 avec effet au 30 avril 2016, de sorte que l’OCE a, par décision du 26 août 2016 entrée en force, révoqué l’ARE et en a réclamé la restitution. Par la décision litigieuse, il a rejeté la demande de remise, considérant que la condition de la bonne foi n’était pas réalisée.![endif]&gt;![if&gt; 10.    a. Dans le formulaire de demande d’ARE du 18 mars 2015,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CO.![endif]&gt;![if&gt; b. Il y a lieu de constater qu’à réitérées reprises, le Tribunal fédéral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Tribunal fédéral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Tribunal fédéral a confirmé que ce formulaire est une clause accessoire au contrat de travail, laquelle prime tout accord contenant des clauses contraires. Force est de constater qu’en l’espèce, l’employeur a failli à ses obligations contractuelles. Le Tribunal fédéral a en effet, dans un arrêt du 16 février 2005 (C 55/04), retenu la date à laquelle le contrat de travail a été résilié. Peu importe, selon la Haute Cour, que le délai de congé arrive lui à échéance au-delà « de la fin de la période d’initiation au travail convenue », le Tribunal fédéral rappelle en effet que le terme «résilier» est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Le texte de l’art. 32 al. 2 LMC a ainsi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 ATAS/40/2015 du 20 janvier 2015, ATAS/705/2016 du 7 septembre 2016, ATAS/79/2017 du 6 février 2017). Or, en l’espèce, le contrat a été résilié par courrier du 24 mars 2016, soit avant l’échéance de l’ARE. Seule cette date est déterminante. 11.    L’employeur allègue avoir dû se séparer de son employé pour des motifs économiques.![endif]&gt;![if&gt; Il suffit cependant dans le cadre du présent litige ne portant que sur la question de la remise, de rappeler que des motifs économiques ne peuvent pas être pris en considération, puisqu’ils ne constituent pas de justes motifs au sens de l'art. 337 CO (arrêts du Tribunal fédéral C 14/02 du 10 juillet 2002 et C 15/05 du 23 mars 2006 ; ATAS/1268/2009 ). 12.    La chambre de céans confirme en conséquence que c’est à juste titre que l’OCE a révoqué l’ARE et réclamé à l’employeur la restitution de l’allocation versée, dès lors que le licenciement a été prononcé le 24 mars 2016, soit avant la fin de la durée totale de la mesure. ![endif]&gt;![if&gt; L’employeur fait à cet égard valoir qu’il n’avait pas compris qu’il devrait rembourser l’allocation perçue, s’il résiliait le contrat de travail avec effet à une date dépassant la durée de la mesure. Force est toutefois de constater qu’il a été dûment informé des conditions auxquelles l'octroi de l'ARE est subordonné, par la communication des dispositions légales applicables. Il lui appartenait de se renseigner le cas échéant auprès de l’OCE. Aussi ne pouvait-il manquer de savoir que s’il résiliait le contrat de travail de son employé avant fin mars 2016, il perdrait le droit à l'ARE. La loi ne prévoit à cet égard aucune exception à ce principe, même lorsque l'employeur doit renoncer au service d'un employé pour des raisons économiques ( ATAS/1268/2009 ). Aussi la demande de remise ne peut-elle être que rejetée. 13.    Partant, le recours sera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