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A/2807/2022 vom 25. Mai 2023</w:t>
      </w:r>
    </w:p>
    <w:p>
      <w:r>
        <w:t>GE Cour de justice, 2023-05-25, FR</w:t>
      </w:r>
    </w:p>
    <w:p>
      <w:r>
        <w:rPr>
          <w:b/>
        </w:rPr>
        <w:t xml:space="preserve">Quelle: </w:t>
      </w:r>
      <w:r>
        <w:t>https://mcp.opencaselaw.ch/entscheid/ge_gerichte_A_2807_2022</w:t>
      </w:r>
    </w:p>
    <w:p>
      <w:r>
        <w:t>FR: GE_GERICHTE A/2807/2022 du 25 mai 2023</w:t>
      </w:r>
    </w:p>
    <w:p>
      <w:r>
        <w:t>IT: GE_GERICHTE A/2807/2022 del 25 maggio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À teneur de l'art. 1 al. 1 LAI, les dispositions de la LPGA s’appliquent à l'assurance-invalidité, à moins que la loi n’y déroge expressément.![endif]&gt;![if&gt;</w:t>
      </w:r>
    </w:p>
    <w:p>
      <w:r>
        <w:rPr>
          <w:b/>
        </w:rPr>
        <w:t>E. 3</w:t>
      </w:r>
    </w:p>
    <w:p>
      <w:r>
        <w:t>Le 1 er janvier 2021 est entrée en vigueur la modification du 21 juin 2019 de la LPGA. Dans la mesure où le recours a été interjeté postérieurement au 1 er janvier 2021, il est soumis au nouveau droit (cf. art. 82a LPGA a contrario ).![endif]&gt;![if&gt;</w:t>
      </w:r>
    </w:p>
    <w:p>
      <w:r>
        <w:rPr>
          <w:b/>
        </w:rPr>
        <w:t>E. 4</w:t>
      </w:r>
    </w:p>
    <w:p>
      <w:r>
        <w:t>Le 1 er janvier 2022, sont entrées en vigueur les modifications de la LAI du 19 juin 2020 (développement continu de l’assurance-invalidité ; RO 2021 705).![endif]&gt;![if&gt;</w:t>
      </w:r>
    </w:p>
    <w:p>
      <w:r>
        <w:rPr>
          <w:b/>
        </w:rPr>
        <w:t>E. 4.1</w:t>
      </w:r>
    </w:p>
    <w:p>
      <w:r>
        <w:t>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132 V 215 consid. 3.1.1 et les références).![endif]&gt;![if&gt;</w:t>
      </w:r>
    </w:p>
    <w:p>
      <w:r>
        <w:rPr>
          <w:b/>
        </w:rPr>
        <w:t>E. 4.2</w:t>
      </w:r>
    </w:p>
    <w:p>
      <w:r>
        <w:t>En l’occurrence, la décision querellée a été rendue antérieurement au 1 er janvier 2022, de sorte que les dispositions légales applicables seront citées ci- après dans leur ancienne teneur.![endif]&gt;![if&gt;</w:t>
      </w:r>
    </w:p>
    <w:p>
      <w:r>
        <w:rPr>
          <w:b/>
        </w:rPr>
        <w:t>E. 5</w:t>
      </w:r>
    </w:p>
    <w:p>
      <w:r>
        <w:t>Interjeté dans la forme et le délai prévus par la loi, compte tenu de la suspension des délais pour la période du 15 juillet au 15 août inclusivement, le recours est recevable (art. 38 al. 4 let. b LPGA et art. 89C let. b de la loi sur la procédure administrative du 12 septembre 1985 [LPA - E 5 10]). ![endif]&gt;![if&gt;</w:t>
      </w:r>
    </w:p>
    <w:p>
      <w:r>
        <w:rPr>
          <w:b/>
        </w:rPr>
        <w:t>E. 6</w:t>
      </w:r>
    </w:p>
    <w:p>
      <w:r>
        <w:t>Le litige porte sur la question de savoir si la recourante a droit à une rente d’invalidité, singulièrement sur le taux d'activité qui aurait été le sien si son état de santé le lui avait permis, le taux de l’aide exigible dans le ménage de la part des membres de sa famille et le degré d’incapacité de travail dès le 1 er août 2021.![endif]&gt;![if&gt;</w:t>
      </w:r>
    </w:p>
    <w:p>
      <w:r>
        <w:rPr>
          <w:b/>
        </w:rPr>
        <w:t>E. 7</w:t>
      </w:r>
    </w:p>
    <w:p>
      <w:r>
        <w:t>![endif]&gt;![if&gt;</w:t>
      </w:r>
    </w:p>
    <w:p>
      <w:r>
        <w:rPr>
          <w:b/>
        </w:rPr>
        <w:t>E. 7.1</w:t>
      </w:r>
    </w:p>
    <w:p>
      <w:r>
        <w:t>![endif]&gt;![if&gt;</w:t>
      </w:r>
    </w:p>
    <w:p>
      <w:r>
        <w:rPr>
          <w:b/>
        </w:rPr>
        <w:t>E. 7.1.1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w:t>
      </w:r>
    </w:p>
    <w:p>
      <w:r>
        <w:rPr>
          <w:b/>
        </w:rPr>
        <w:t>E. 7.1.2</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moins.![endif]&gt;![if&gt;</w:t>
      </w:r>
    </w:p>
    <w:p>
      <w:r>
        <w:rPr>
          <w:b/>
        </w:rPr>
        <w:t>E. 7.1.3</w:t>
      </w:r>
    </w:p>
    <w:p>
      <w:r>
        <w:t>En vertu de l’art. 29 al. 1 LAI, le droit à la rente au sens de l’art. 28 prend naissance au plus tôt à la date dès laquelle l’assuré présente une incapacité de gain durable de 40 % au moins (art. 7 LPGA), ou dès laquelle l’assuré a présenté, en moyenne, une incapacité de travail de 40 % au moins pendant une année sans interruption notable (art. 6 LPGA). ![endif]&gt;![if&gt;</w:t>
      </w:r>
    </w:p>
    <w:p>
      <w:r>
        <w:rPr>
          <w:b/>
        </w:rPr>
        <w:t>E. 7.1.4</w:t>
      </w:r>
    </w:p>
    <w:p>
      <w:r>
        <w:t>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1).![endif]&gt;![if&gt;</w:t>
      </w:r>
    </w:p>
    <w:p>
      <w:r>
        <w:rPr>
          <w:b/>
        </w:rPr>
        <w:t>E. 7.2</w:t>
      </w:r>
    </w:p>
    <w:p>
      <w:r>
        <w:t>![endif]&gt;![if&gt;</w:t>
      </w:r>
    </w:p>
    <w:p>
      <w:r>
        <w:rPr>
          <w:b/>
        </w:rPr>
        <w:t>E. 7.2.1</w:t>
      </w:r>
    </w:p>
    <w:p>
      <w:r>
        <w:t>Tant lors de l'examen initial du droit à la rente qu'à l'occasion d'une révision de celle-ci (art. 17 LPGA), il faut examiner sous l'angle des art. 4 et 5 LAI quelle méthode d'évaluation de l'invalidité il convient d'appliquer (art. 28a LAI, en corrélation avec les art. 27ss du règlement sur l’assurance-invalidité du 17 janvier 1961 - RAI - RS 831.201).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144 I 28 consid. 2.3 ; 137 V 334 consid. 3.2 ;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5b).![endif]&gt;![if&gt;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144 I 28 consid. 2.3 et les références ; 141 V 15 consid. 3.1 ; 137 V 334 consid. 3.2 ; 125 V 146 consid. 2c ainsi que les références).</w:t>
      </w:r>
    </w:p>
    <w:p>
      <w:r>
        <w:rPr>
          <w:b/>
        </w:rPr>
        <w:t>E. 8</w:t>
      </w:r>
    </w:p>
    <w:p>
      <w:r>
        <w:t>![endif]&gt;![if&gt;</w:t>
      </w:r>
    </w:p>
    <w:p>
      <w:r>
        <w:rPr>
          <w:b/>
        </w:rPr>
        <w:t>E. 8.1</w:t>
      </w:r>
    </w:p>
    <w:p>
      <w:r>
        <w:t>![endif]&gt;![if&gt;</w:t>
      </w:r>
    </w:p>
    <w:p>
      <w:r>
        <w:rPr>
          <w:b/>
        </w:rPr>
        <w:t>E. 8.1.1</w:t>
      </w:r>
    </w:p>
    <w:p>
      <w:r>
        <w:t>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La part de l'activité professionnelle dans l'ensemble des travaux de l'assuré est fixée en comparant l'horaire de travail usuel dans la profession en question et l'horaire accompli par l'assuré valide ; on calcule donc le rapport en pour-cent entre ces deux valeurs (ATF 104 V 136 consid. 2a ; RCC 1992 p. 136 consid. 1b). La part des travaux habituels constitue le reste du pourcentage (ATF 130 V 393 consid. 3.3 ; 104 V 136 consid. 2a). Activité lucrative et travaux habituels non rémunérés sont en principe complémentaires dans le cadre de la méthode mixte. En d’autres termes, ces deux domaines d'activités forment ensemble, en règle générale, un taux de 100%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![endif]&gt;![if&gt;</w:t>
      </w:r>
    </w:p>
    <w:p>
      <w:r>
        <w:rPr>
          <w:b/>
        </w:rPr>
        <w:t>E. 8.1.2</w:t>
      </w:r>
    </w:p>
    <w:p>
      <w:r>
        <w:t>Selon l’art. 27bis RAI en vigueur depuis le 1 er janvier 2018,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 b.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où l'assuré ne serait pas invalide. Ce pourcentage est pondéré au moyen de la différence entre le taux d'occupation visé à l'al. 3, let. b, et une activité lucrative exercée à plein temps (al. 4). ![endif]&gt;![if&gt; L’élément nouveau est que le revenu sans invalidité n’est plus déterminé sur la base du revenu correspondant au taux d’occupation de l’assuré, mais est désormais extrapolé pour la même activité lucrative exercée à plein temps. La détermination du revenu d’invalide est, quant à elle, inchangée. La perte de gain exprimée en pourcentage du revenu sans invalidité est ensuite pondérée au moyen du taux d’occupation auquel l’assuré travaillerait s’il n’était pas invalide. Le taux d’invalidité en lien avec les travaux habituels est, comme c’était le cas auparavant, déterminé au moyen de la méthode de comparaison des types d’activités prévue à l’art. 28a al. 2 LAI. De même que pour les assurés qui accomplissent des travaux habituels à plein temps, l’invalidité est calculée en fonction de l’incapacité de l’assuré à accomplir ses travaux habituels. La limitation ainsi obtenue est pondérée au moyen de la différence entre le taux d’occupation de l’activité lucrative et une activité à plein temps. Le taux d’invalidité total est obtenu en additionnant les deux taux d’invalidité pondérés (cf. Ralph LEUENBERGER, Gisela MAURO, Changements dans la méthode mixte, in Sécurité sociale/CHSS n° 1/2018 p. 45). En résumé, conformément à l’art. 27 RAI, dans le cadre de la méthode mixte, le degré d’invalidité est calculé comme suit (cf. n° 3101 de la circulaire sur l’invalidité et l’impotence dans l’assurance-invalidité [CIIAI], en vigueur jusqu’au 31 décembre 2021 et n° 3703 de la circulaire sur l’invalidité et les rentes dans l’assurance-invalidité [CIRAI], en vigueur depuis le 1 er janvier 2022) : (taux d’occupation avant l’invalidité x degré d’invalidité) + (taux des travaux habituels (ménage) x limitation dans le ménage) = degré d’invalidité.</w:t>
      </w:r>
    </w:p>
    <w:p>
      <w:r>
        <w:rPr>
          <w:b/>
        </w:rPr>
        <w:t>E. 8.2</w:t>
      </w:r>
    </w:p>
    <w:p>
      <w:r>
        <w:t>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(cf. ATF 138 I 205 consid. 3.2). Dans le cas d'une personne rencontrant des difficultés à accomplir ses travaux ménagers à cause de son handicap, le principe évoqué se concrétise notamment par l'obligation de solliciter l'aide des membres de la famille.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 partielle correspondante (ATF 133 V 504 consid. 4.2 ; arrêt du Tribunal fédéral 9C_785/2014 ).![endif]&gt;![if&gt;</w:t>
      </w:r>
    </w:p>
    <w:p>
      <w:r>
        <w:rPr>
          <w:b/>
        </w:rPr>
        <w:t>E. 8.3</w:t>
      </w:r>
    </w:p>
    <w:p>
      <w:r>
        <w:t>![endif]&gt;![if&gt;</w:t>
      </w:r>
    </w:p>
    <w:p>
      <w:r>
        <w:rPr>
          <w:b/>
        </w:rPr>
        <w:t>E. 8.3.1</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97).![endif]&gt;![if&gt; 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et les références ; arrêt du Tribunal fédéral 9C_191/2021 du 25 novembre 2021 consid. 6.2.2 et les références).</w:t>
      </w:r>
    </w:p>
    <w:p>
      <w:r>
        <w:rPr>
          <w:b/>
        </w:rPr>
        <w:t>E. 8.3.2</w:t>
      </w:r>
    </w:p>
    <w:p>
      <w:r>
        <w:t>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 129 V 67 consid. 2.3.2 publié dans VSI 2003 p. 221 ; arrêt du Tribunal fédéral 9C_625/2017 du 26 mars 2018 consid. 6.2 et arrêt du Tribunal fédéral des assurances I 733/06 du 16 juillet 2007).![endif]&gt;![if&gt;</w:t>
      </w:r>
    </w:p>
    <w:p>
      <w:r>
        <w:rPr>
          <w:b/>
        </w:rPr>
        <w:t>E. 8.4</w:t>
      </w:r>
    </w:p>
    <w:p>
      <w:r>
        <w:t>![endif]&gt;![if&gt;</w:t>
      </w:r>
    </w:p>
    <w:p>
      <w:r>
        <w:rPr>
          <w:b/>
        </w:rPr>
        <w:t>E. 8.4.1</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LPGA).![endif]&gt;![if&gt;</w:t>
      </w:r>
    </w:p>
    <w:p>
      <w:r>
        <w:rPr>
          <w:b/>
        </w:rPr>
        <w:t>E. 8.4.2</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114 V 310 consid. 3c ; arrêt du Tribunal fédéral 8C_442/2013 du 4 juillet 2014 consid. 2).![endif]&gt;![if&gt;</w:t>
      </w:r>
    </w:p>
    <w:p>
      <w:r>
        <w:rPr>
          <w:b/>
        </w:rPr>
        <w:t>E. 8.4.3</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3).![endif]&gt;![if&gt;</w:t>
      </w:r>
    </w:p>
    <w:p>
      <w:r>
        <w:rPr>
          <w:b/>
        </w:rPr>
        <w:t>E. 8.4.4</w:t>
      </w:r>
    </w:p>
    <w:p>
      <w:r>
        <w:t>Sans remettre en cause le principe de la libre appréciation des preuves, le Tribunal fédéral des assurances a posé des lignes directrices en ce qui concerne la manière d'apprécier certains types d'expertises ou de rapports médicaux.![endif]&gt;![if&gt;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En effet, un médecin traitant a naturellement le souci d'éviter tout ce qui pourrait perturber son travail et souhaite notamment éviter de provoquer chez son patient un ressentiment qui rendrait sa mission plus difficile ou même impossible (ATF 124 I 170 consid. 4).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9</w:t>
      </w:r>
    </w:p>
    <w:p>
      <w:r>
        <w:t>![endif]&gt;![if&gt;</w:t>
      </w:r>
    </w:p>
    <w:p>
      <w:r>
        <w:rPr>
          <w:b/>
        </w:rPr>
        <w:t>E. 9.1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Aussi n'existe-t-il pas, en droit des assurances sociales, un principe selon lequel l'administration ou le juge devrait statuer, dans le doute, en faveur de l'assuré (ATF 126 V 319 consid. 5a).![endif]&gt;![if&gt;</w:t>
      </w:r>
    </w:p>
    <w:p>
      <w:r>
        <w:rPr>
          <w:b/>
        </w:rPr>
        <w:t>E. 9.2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122 III 219 consid. 3c).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122 V 157 consid. 1d).![endif]&gt;![if&gt;</w:t>
      </w:r>
    </w:p>
    <w:p>
      <w:r>
        <w:rPr>
          <w:b/>
        </w:rPr>
        <w:t>E. 9.3</w:t>
      </w:r>
    </w:p>
    <w:p>
      <w:r>
        <w:t>En l’espèce, la recourante ne conteste pas le statut mixte qui lui a été reconnu dès le 1 er septembre 2015, mais soutient, dans un premier grief, que, si son état de santé le lui avait permis, elle aurait exercé une activité à un taux supérieur à celui de 30% retenu par l’intimé.![endif]&gt;![if&gt; Dans son recours, l’assurée a d’abord évoqué un taux d’occupation compris entre 60% et 80%, puis, dans un second temps, lors de son audition, un taux de 50% ou 70%. Il ressort des pièces, et notamment des rapports médicaux et des déclarations de la recourante lors de son audition par la Cour de céans, que l’intéressée n’a jamais exercé d'activité professionnelle en Suisse, même lorsqu'elle n'avait aucun problème de santé, ce qu’elle a expliqué par la culture malgache. Ce n'est que lorsque son époux a perdu son emploi qu’elle a recherché un emploi. Les déclarations de la recourante quant au fait qu'elle aurait recherché un poste à 60% ou 80%, voire 50% à 70%, ne sont étayées par aucun élément du dossier. Son unique recherche d'emploi a porté sur un poste de patrouilleuse scolaire à 30%, en 2015, auquel elle a finalement renoncé en raison de son déménagement. Elle a par ailleurs confirmé qu’elle ne souhaitait pas travailler à plein temps. Certes, lorsqu'elle a postulé pour le poste de patrouilleuse, l’assurée avait déjà rencontré des problèmes de santé importants, qui pourraient expliquer qu’elle se soit contentée d’un taux d’occupation de 30%. La Cour de céans relève cependant que, dans les années qui ont suivi, bien que son époux n'ait pas retrouvé d'emploi et alors que ses médecins lui avaient reconnu une capacité de travail de 50% à 80%, la recourante n'a pas recherché d’autre emploi. En tout cas, elle ne l’allègue pas et ne le démontre pas. Au vu des considérations qui précèdent, force est d’admettre qu’aucun élément du dossier ne permet de retenir que la recourante aurait travaillé à un taux supérieur à 30% si elle n’avait pas été atteinte dans sa santé. Dans ces circonstances, c’est à juste titre que l’intimé a retenu un statut mixte de personne active à 30% seulement.</w:t>
      </w:r>
    </w:p>
    <w:p>
      <w:r>
        <w:rPr>
          <w:b/>
        </w:rPr>
        <w:t>E. 9.4</w:t>
      </w:r>
    </w:p>
    <w:p>
      <w:r>
        <w:t>Dans un second grief, la recourante critique l’aide exigible retenue s’agissant de sa famille. Elle ne conteste en revanche pas le contenu de l'enquête ménagère quant au descriptif de sa situation personnelle, médicale ou encore de la répartition des tâches. Elle reproche seulement à l'intimé d'avoir surestimé l'aide de ses proches. ![endif]&gt;![if&gt; L'intimé a retenu une aide exigible des membres de la famille de l’assurée de 30.5%. La recourante soutient que ce taux devrait être de 15% au maximum. Elle explique que sa fille suit des études, rencontre quelques problèmes de santé et a un enfant en bas âge. Quant au compagnon de sa fille, il travaille dans la restauration, avec des horaires incompatibles avec ses besoins d’aide. En outre, sa fille et son compagnon cherchent à quitter le domicile familial. Quant à son fils, il est encore jeune et en études. En l'occurrence, l'enquête ménagère constate en particulier que le mari de la recourante, ainsi que sa fille et son compagnon, adultes, et le fils de la recourante, adolescent, participent activement aux tâches ménagères. Les repas du soir sont élaborés par la recourante, avec l'aide de son fils et de son mari, car elle rencontre des difficultés à rester debout pour surveiller la cuisson des plats. Sa fille se charge de la vaisselle. Son fils se débrouille seul pour son repas de midi et son mari prépare un repas simple pour leur petit-fils. Elle-même se réchauffe un plat de la veille. Pour ce qui est de l'entretien du logement, les enfants, le compagnon de la fille, ainsi que le mari de la recourante le prennent majoritairement en charge, la recourante s'occupant de la chambre conjugale et passant le balai. Elle continue à faire les emplettes dans le quartier et ses proches s'occupent des courses le samedi. Toutes les lessives sont faites par les enfants, sous la supervision de la recourante, qui ne porte rien. Elle aide à étendre le linge et à le plier, assise sur le canapé. Chacun range son linge. La recourante continue à participer à l'éducation de ses enfants, mais son fils est autonome et sa fille adulte. Avant qu’elle ne soit malade, son mari était en charge des contacts scolaires et accompagnait les enfants aux activités sportives. Elle accompagnait les enfants aux rendez-vous médicaux. À présent, c'est son mari qui accompagne leur fils à ces rendez-vous, si besoin. La recourante se charge de récupérer son petit-fils au jardin d'enfants se trouvant à côté de leur domicile. Elle le garde, avec son mari, l'après-midi, mais elle n'a pas beaucoup besoin de s'occuper de l'enfant, car il dort ou s'occupe seul. Il lui arrive de le laisser seul avec son mari, pendant qu'elle va se reposer. Ainsi, il apparaît que les tâches sont réparties équitablement entre les membres de la famille et que l'aide demandée à chacun ne dépasse pas ce qui peut être raisonnablement exigé de chacun. Quoi qu’il en soit, dans un arrêt récent, le Tribunal fédéral a rappelé que, selon sa jurisprudence constante, dans l'assurance-invalidité, ainsi que dans les autres assurances sociales, on applique de manière générale le principe selon lequel un assuré doit, avant de requérir des prestations, entreprendre de son propre chef tout ce qu'on peut raisonnablement attendre d'une personne raisonnable dans la même situation, pour atténuer le mieux possible les conséquences de son invalidité. Dans le cas d'une personne rencontrant des difficultés à accomplir ses travaux ménagers à cause de son handicap, le principe évoqué se concrétise notamment par l'obligation d'organiser son travail et de solliciter l'aide des membres de la famille dans une mesure convenable.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cellule familiale raisonnable si elle ne pouvait pas s'attendre à recevoir des prestations d'assurance. La jurisprudence ne pose pas de grandeur limite au-delà de laquelle l'aide des membres de la famille ne serait plus possible. L'aide exigible de tiers ne doit cependant pas devenir excessive ou disproportionnée (ATF 9C_248/2022 du 23 avril 2023 consid. 5.3.1). La jurisprudence ne répercute pas sur un membre de sa famille l'accomplissement de certaines activités ménagères, avec la conséquence qu'il faudrait se demander pour chaque empêchement si cette personne entre effectivement en ligne de compte pour l'exécuter en remplacement. Au contraire, la possibilité pour la personne assurée d'obtenir concrètement de l'aide de la part d'un tiers n'est pas décisive dans le cadre de l'évaluation de son obligation de réduire le dommage. Ce qui est déterminant, c'est le point de savoir comment se comporterait une cellule familiale raisonnable, soumise à la même réalité sociale, si elle ne pouvait pas s'attendre à recevoir des prestations d'assurance. Dans le cadre de son obligation de réduire le dommage (art. 7 al. 1 LAI), la personne qui requiert des prestations de l'assurance-invalidité doit par conséquent se laisser opposer le fait que des tiers – par exemple son conjoint (art. 159 al. 2 et 3 du Code civil suisse du 10 décembre 1907 - CC - RS 210) ou ses enfants (art. 272 CC) – sont censés remplir les devoirs qui leur incombent en vertu du droit de la famille (arrêt op. cit. consid. 5.3.2). En l’occurrence, le taux retenu – 30,55 – paraît parfaitement raisonnable, étant rappelé que le mari de la recourante ne travaille pas et que deux autres adultes partagent le foyer. À cet égard, on relèvera que, dans un arrêt du 5 mars 2014, le Tribunal fédéral a confirmé une exigibilité globale de 30% à charge du mari d'une assurée et de leurs trois enfants, considérant qu'il incombait à la famille de s'organiser afin de décharger l'assurée des travaux ménagers qu'elle ne pouvait plus accomplir ou effectuer qu'avec difficultés (arrêt du Tribunal fédéral 9C_784/2013 consid. 6).</w:t>
      </w:r>
    </w:p>
    <w:p>
      <w:r>
        <w:rPr>
          <w:b/>
        </w:rPr>
        <w:t>E. 9.5</w:t>
      </w:r>
    </w:p>
    <w:p>
      <w:r>
        <w:t>Dans un troisième et dernier grief, la recourante conteste avoir recouvré une pleine capacité de travail le 1 er août 2021. Elle l’estime pour sa part à 50% au maximum, en raison de ses douleurs lombaires, mais également des acouphènes qui affectent son quotidien, lui font perdre le sommeil et lui occasionnent des angoisses. ![endif]&gt;![if&gt; L’intimé, lui, considère que, dans une activité adaptée à son état de santé, la capacité de travail de l’assurée a été de 100% du 1 er février 2014 au 31 janvier 2015, de 80% du 1 er février 2016 au 31 décembre 2020, de 50% du 1 er janvier 2021 au 31 juillet 2021, puis à nouveau de 100% dès le 1 er août 2021. Dans son rapport de mai 2021, la Dre E______ a estimé qu'un travail léger à 50% était exigible, tout en précisant qu'il était nécessaire d'attendre les résultats de l'IRM du 26 mai 2021 pour effectuer un nouveau bilan. La docteure a ajouté que, selon l'évolution de la douleur, une reprise du travail à 100% pouvait être envisagée. Le Dr H______, spécialiste chiropraticien, a soutenu, le 1 er juillet 2021, que les douleurs lombaires quotidiennes de la recourante avaient disparu et n'apparaissaient plus que lors d'efforts plus importants, ce qui irait dans le sens d'une capacité de travail, dans une activité adaptée, retrouvée. En avril 2021, le Dr C______ a, quant à lui, attesté que, d'un point de vue psychiatrique, il n'y avait pas d'atteinte ayant un impact sur la capacité de travail. Il préconisait une activité adaptée aux limitations fonctionnelles physiques, afin de ne pas influencer négativement le tableau thymique. Force est de constater que la Dre E______ n'a pas mentionné de date à partir de laquelle la pleine capacité de travail serait retrouvée et n'a pas émis d'avis à la suite de l'IRM de mai 2021, alors même qu'elle avait expressément réservé son opinion suite aux résultats de cet examen. Bien qu'elle ait annoncé qu'elle fournirait des informations médicales complémentaires, la recourante n'en a produit aucune, que ce soit de la Dre E______ ou d’un autre médecin, sur la question des conséquences alléguées des acouphènes. Quoi qu’il en soit, la question de la capacité de travail de l’assurée peut rester ouverte. En effet, il a été établi que, depuis le 1 er septembre 2015, l'invalidité de la recourante doit être évaluée selon la méthode mixte, pour un statut d’active à 30%. Or, même en admettant une totale incapacité à exercer la moindre activité lucrative, cela conduirait à un taux d'invalidité de 30% au maximum, insuffisant pour ouvrir droit à une rente (art. 28 al. 2 LAI).</w:t>
      </w:r>
    </w:p>
    <w:p>
      <w:r>
        <w:rPr>
          <w:b/>
        </w:rPr>
        <w:t>E. 10</w:t>
      </w:r>
    </w:p>
    <w:p>
      <w:r>
        <w:t>Au vu de ce qui précède, la documentation versée au dossier permettant à la Cour de céans de statuer en connaissance de cause sur le bien-fondé de la décision attaquée, il n’y a pas lieu d’ordonner l'audition des proches ou des médecins de la recourante, par appréciation anticipée des preuves (ATF 122 II 464 consid. 4a). ![endif]&gt;![if&gt;</w:t>
      </w:r>
    </w:p>
    <w:p>
      <w:r>
        <w:rPr>
          <w:b/>
        </w:rPr>
        <w:t>E. 11</w:t>
      </w:r>
    </w:p>
    <w:p>
      <w:r>
        <w:t>La décision de l’intimé de nier le droit à une rente à la recourante apparaît bien fondée. Le recours est rejeté.![endif]&gt;![if&gt;</w:t>
      </w:r>
    </w:p>
    <w:p>
      <w:r>
        <w:rPr>
          <w:b/>
        </w:rPr>
        <w:t>E. 12</w:t>
      </w:r>
    </w:p>
    <w:p>
      <w:r>
        <w:t>Un émolument de CHF 200.- est mis à la charge de la recourante, qui n’obtient pas gain de cause (art. 69 al. 1bis LAI).![endif]&gt;![if&gt;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