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A/2804/2008 vom 13. August 2008</w:t>
      </w:r>
    </w:p>
    <w:p>
      <w:r>
        <w:t>GE Cour de justice, 2008-08-13, FR</w:t>
      </w:r>
    </w:p>
    <w:p>
      <w:r>
        <w:rPr>
          <w:b/>
        </w:rPr>
        <w:t xml:space="preserve">Quelle: </w:t>
      </w:r>
      <w:r>
        <w:t>https://mcp.opencaselaw.ch/entscheid/ge_gerichte_A_2804_2008</w:t>
      </w:r>
    </w:p>
    <w:p>
      <w:r>
        <w:t>FR: GE_GERICHTE A/2804/2008 du 13 août 2008</w:t>
      </w:r>
    </w:p>
    <w:p>
      <w:r>
        <w:t>IT: GE_GERICHTE A/2804/2008 del 13 agosto 2008</w:t>
      </w:r>
    </w:p>
    <w:p>
      <w:pPr>
        <w:pStyle w:val="Heading2"/>
      </w:pPr>
      <w:r>
        <w:t>Regeste</w:t>
      </w:r>
    </w:p>
    <w:p>
      <w:r>
        <w:t>Irrecevable. | Le plaignant n'a pas produit la décision attaquée dans le délai imparti. Radiation de poursuites : rappel de la jurisprudence du Tribunal fédéral. | LP.149a.3 ; 265.2 ; 85a ; LPA 72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désignent la mesure attaquée et comportent les conclusions du plaignant (art. 65 al. 1 LPA). A défaut, pour peu que la réclamation formulée apparaisse comme une plainte, la Commission de céans doit impartir au plaignant un bref délai pour satisfaire à ces exigences, sous peine d’irrecevabilité (art. 13 al. 2 LaLP et art. 65 al. 2 phr. 3 LPA).</w:t>
      </w:r>
    </w:p>
    <w:p>
      <w:r>
        <w:rPr>
          <w:b/>
        </w:rPr>
        <w:t>E. 3</w:t>
      </w:r>
    </w:p>
    <w:p>
      <w:r>
        <w:t>En l'espèce, la Commission de céans a, par pli recommandé du 30 juillet 2008, imparti au plaignant un délai au 12 août 2008 pour, notamment, produire la décision attaquée, sous peine d'irrecevabilité. A réception de ce pli, le 31 juillet 2008, le plaignant a affirmé que, la poursuivante n'ayant pas donné suite à ses demandes réitérées de contrordrer la poursuite dont il fait l'objet, il s'était adressé à l'Office des poursuites afin que celle-ci soit radiée. Aucune pièce n'était toutefois jointe à ce courrier. La voie de la plainte n'est au demeurant pas ouverte pour contraindre l'Office des poursuites à radier une poursuite. La présente plainte doit en conséquence être déclarée irrecevable.</w:t>
      </w:r>
    </w:p>
    <w:p>
      <w:r>
        <w:rPr>
          <w:b/>
        </w:rPr>
        <w:t>E. 4</w:t>
      </w:r>
    </w:p>
    <w:p>
      <w:r>
        <w:t>A titre superfétatoire, la Commission de céans rappellera qu'à part les art. 149a al. 3 et 265 al. 2 LP qui prévoient une véritable radiation, limitée toutefois au registre des actes de défaut de biens que les cantons peuvent tenir (Pierre-Robert Gilliéron , Commentaire, ad art. 149a n° 29 ss ; cf. art. 8 Oform), le droit fédéral ne ménage aucune possibilité de radier l'inscription d'une poursuite dans les livres avant l'échéance prévue à l'art. 2 al. 2 OCdoc. Il existe cependant un équivalent à la radiation (cf. Message concernant la révision de la LP du 8 mai 1991, p.39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du 19 septembre 2006 7B.88/2006 ; ATF 115 III 24 consid. 2b). Le débiteur, qui, comme en l'espèce, a formé opposition à une poursuite en temps utile et dont l'opposition n'a pas été écartée définitivement, ne peut ouvrir l'action de l'art. 85a LP. Il en résulte donc pour lui un inconvénient, vu la publicité du registre des poursuites, en particulier s'il fait l'objet de poursuites injustifiées. A teneur de la jurisprudence du Tribunal fédéral, il lui appartient, dans pareille situation, d'intenter l'action générale en constatation de l'inexistence de la créance déduite en poursuite, laquelle, si le jugement sur cette action conclut à sa nullité, ne pourra pas être communiquée aux tiers en vertu de l'art. 8a al. 3 let. a LP (Arrêt du Tribunal fédéral non publié du 17 octobre 2000, 7B.227/2000 ; ATF 120 II 20 ; ATF 128 III 334 ). Le plaignant doit ainsi être renvoyé à procéder, s'il l'estime opportun, comme indiqué ci-dessus.</w:t>
      </w:r>
    </w:p>
    <w:p>
      <w:r>
        <w:rPr>
          <w:b/>
        </w:rPr>
        <w:t>E. 5</w:t>
      </w:r>
    </w:p>
    <w:p>
      <w:r>
        <w:t>La présente décision est rendue en application de l’art. 72 LPA, applicable en vertu de l’art. 13 al. 5 LaLP, soit sans instruction préalable, c’est-à-dire sans que l’Office des poursuite et la poursuivante n’aient été invités à se déterminer sur la plainte, compte tenu de l’issue manifeste qu’il faut donner à cette dernière. * * * * * PAR CES MOTIFS, LA COMMISSION DE SURVEILLANCE SIÉGEANT EN SECTION : Déclare irrecevable la plainte formée le 25 juillet 2007 par M. M______ dans le cadre de la poursuite n° 06 xxxx90 J. Siégeant : Mme Ariane WEYENETH, présidente ; M. Didier BROSSET et M. Philipp GANZONI,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