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A/2801/2006 vom 18. September 2009</w:t>
      </w:r>
    </w:p>
    <w:p>
      <w:r>
        <w:t>GE Cour de justice, 2009-09-18, FR</w:t>
      </w:r>
    </w:p>
    <w:p>
      <w:r>
        <w:rPr>
          <w:b/>
        </w:rPr>
        <w:t xml:space="preserve">Quelle: </w:t>
      </w:r>
      <w:r>
        <w:t>https://mcp.opencaselaw.ch/entscheid/ge_gerichte_A_2801_2006</w:t>
      </w:r>
    </w:p>
    <w:p>
      <w:r>
        <w:t>FR: GE_GERICHTE A/2801/2006 du 18 septembre 2009</w:t>
      </w:r>
    </w:p>
    <w:p>
      <w:r>
        <w:t>IT: GE_GERICHTE A/2801/2006 del 18 settembre 2009</w:t>
      </w:r>
    </w:p>
    <w:p>
      <w:pPr>
        <w:pStyle w:val="Heading2"/>
      </w:pPr>
      <w:r>
        <w:t>Erwägungen</w:t>
      </w:r>
    </w:p>
    <w:p>
      <w:r>
        <w:rPr>
          <w:b/>
        </w:rPr>
        <w:t>E. 30</w:t>
      </w:r>
    </w:p>
    <w:p>
      <w:r>
        <w:t>% pour prendre en compte les spécificités du cabinet Fr. 61'822,30 Total admis Fr. 267'896,70 Chiffre d’affaires du défendeur sur la base d’un indice de 177 (392 x 930,50) Fr. 364'756,- Différence Fr. 96'859,30 L'addition des différences relatives aux années 2004 à 2006 donne un total de 298'441 fr. 60. Le défendeur sera ainsi condamné au paiement de cette somme, arrondie au chiffre entier inférieur. Cela étant, la demande sera partiellement admise. La procédure par-devant le Tribunal arbitral n'est pas gratuite (cf. art. 46 LaLAMal). Les frais du Tribunal, par 3'947 fr. 50 et un émolument de 300 fr., seront mis à charge des parties par moitié, les demanderesses ayant obtenu seulement moins que la moitié de la somme réclamée de 625'268 fr. De ce fait, les dépens seront en outre compensés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