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A/2799/2012 vom 27. März 2012</w:t>
      </w:r>
    </w:p>
    <w:p>
      <w:r>
        <w:t>GE Cour de justice, 2012-03-27, FR</w:t>
      </w:r>
    </w:p>
    <w:p>
      <w:r>
        <w:rPr>
          <w:b/>
        </w:rPr>
        <w:t xml:space="preserve">Quelle: </w:t>
      </w:r>
      <w:r>
        <w:t>https://mcp.opencaselaw.ch/entscheid/ge_gerichte_A_2799_2012</w:t>
      </w:r>
    </w:p>
    <w:p>
      <w:r>
        <w:t>FR: GE_GERICHTE A/2799/2012 du 27 mars 2012</w:t>
      </w:r>
    </w:p>
    <w:p>
      <w:r>
        <w:t>IT: GE_GERICHTE A/2799/2012 del 27 marzo 2012</w:t>
      </w:r>
    </w:p>
    <w:p>
      <w:pPr>
        <w:pStyle w:val="Heading2"/>
      </w:pPr>
      <w:r>
        <w:t>Erwägungen</w:t>
      </w:r>
    </w:p>
    <w:p>
      <w:r>
        <w:rPr>
          <w:b/>
        </w:rPr>
        <w:t>E. 5</w:t>
      </w:r>
    </w:p>
    <w:p>
      <w:r>
        <w:t>ème Chambre En la cause Madame F___________, domiciliée à GENEVE, comparant avec élection de domicile en l'étude de Maître POGGIA Mauro recourante contre SERVICE DES PRESTATIONS COMPLEMENTAIRES, sis route de Chêne 54, 1208 Genève intimé EN FAIT En juillet 2011, Madame F___________ a requis des prestations complémentaires fédérales et cantonales à sa rente d'invalidité. Par décision du 27 mars 2012, le Service des prestations complémentaires (ci-après SPC) a refusé à la requérante les prestations sollicitées, à l'exception du subside de l'assurance-maladie. Dans son calcul, ledit service a tenu compte d'une épargne de 7'218,25 fr. d'un capital LPP (prestation de libre passage) de 111'980.30 fr. et de biens dessaisis de 51'196 fr. Par courrier du 26 avril 2012, la recourante a formé opposition à cette décision, par l'intermédiaire de son conseil. Elle a contesté le montant des biens dessaisis de 51'196 fr., tout en expliquant qu'après des années difficiles, elle avait non seulement remboursé ce que des amis lui avaient prêté, mais également effectué quelques achats pour sa maison et pour elle-même, dont elle s'était privée pendant sept ans. Par courrier du 18 mai 2012, le SPC a expliqué à la requérante qu'un dessaisissement a été pris en compte en raison de la baisse importante de l'épargne pendant la période du 1 er avril 2011 au 31 décembre 2011, diminution au sujet de laquelle la requérante n'avait fourni aucun justificatif. Cela étant, le SPC l'a invitée à lui transmettre les pièces justificatives de ses dépenses jusqu'au 2 juin 2012. Par courrier du 1 er juin 2012, la requérante a expliqué avoir vécu avec le strict minimum jusqu'à la décision de l'assurance-invalidité lui accordant une rente avec effet rétroactif au 1 er septembre 2004. Parallèlement, elle avait reçu la part lui revenant dans la succession de feu son père. Après tant d'années de privations, elle avait remboursé certains prêts dont elle ne pouvait toutefois faire état, et avait profité de sortir un peu et de refaire l'intégralité de sa garde robe. Elle avait gardé quelques factures de ses dépenses dont elle a produit les copies. Indépendamment de ces factures, elle avait effectué des dépenses d'une moyenne de 3'000 fr. par mois en 2011, ce qui n'était pas excessif pour une personne qui avait vécu avec un minimum durant de nombreuses années. Par décision du 14 août 2012, le SPC a rejeté l'opposition de la recourante. Il a expliqué avoir constaté en 2011 une importante diminution d'épargne de 72'881, 87 fr. à 7'079.90 fr. soit un total de 65'801.97 fr. Compte tenu des ressources de la recourante au cours de l'année 2011 et de ses charges, la requérante avait dû puiser dans son épargne pour compléter ses revenus et parvenir à payer ses dépenses, à concurrence de 14'605,65 fr. Cela étant, une diminution de 51'196, 33 fr. restait inexpliquée à défaut d'une justification des dépenses extraordinaires. Constatant que la recourante avait toutefois établi par pièces des dépenses durant l'année 2011 pour un montant de 3'944, 25 fr., le SPC a diminué le montant retenu à titre de biens dessaisis à 47'252, 08 fr. Cette différence ne permettait pas non plus d'ouvrir le droit aux prestations complémentaires. Par acte du 14 septembre 2012, la recourante a recouru contre cette décision, par l'intermédiaire de son conseil, en concluant à son annulation, à la constatation que les biens dessaisis n'excèdent pas 20'252 fr 08 et au renvoi de la cause à l'intimé pour nouvelle décision, sous suite de dépens. Elle a contesté que, selon le calcul opéré par l'intimé, elle aurait dû se contenter du minimum vital pour pouvoir bénéficier des prestations complémentaires. En effet, l'intimé n'avait pris en compte que ses besoins vitaux, augmentés du loyer et des primes d'assurance-maladie. Elle a jugé inacceptable qu'une personne qui avait vécu avec le strict minimum durant sept ans, n'avait le droit de s'offrir aucun plaisir, aucun voyage ni aucun restaurant ni remercier les personnes qui lui étaient venues en aide durant cette période. Tout en admettant que des dépenses extraordinaires de 51'196 fr. 33 pouvaient être considérées comme excessives, elle a fait valoir qu'une somme mensuelle de 3'000 fr. durant neuf mois en 2011, soit un total de 27'000 fr., devait être admise à titre de dépenses extraordinaires justifiées. Dans son préavis du 11 octobre 2012, l'intimé a conclu au rejet du recours en reprenant pour l'essentiel la motivation de la décision querellée. Il a par ailleurs relevé ne pas pouvoir admettre le montant allégué au titre des dépenses effectuées pour le propre usage de la recourante sur la foi des seules affirmations de celle-ci. Dans ses écritures du 5 novembre 2012, la recourante a persisté dans ses conclusions en reprenant ses arguments précédents.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Interjeté dans les délai et forme prescrits par la loi, le recours est recevable (art 56 ss LPGA, 9 de la loi cantonale du 14 octobre 1965 sur les prestations fédérales complémentaires à l’assurance-vieillesse et survivants et à l’assurance-invalidité [LPFC; RSG J 7 10] et. 43 LPCC)). Est litigieuse en l'occurrence la question de savoir si la recourante peut bénéficier des prestations complémentaires fédérales et cantonales. En vertu de l'art. 4 LPC, les personnes qui ont leur domicile et leur résidence habituelle (art. 13 LPGA) en Suisse ont droit à des prestations complémentaires, dès lors qu’elles perçoivent, notamment, une rente de vieillesse (al. 1 let. a). Le montant de la prestation complémentaire annuelle correspond à la part des dépenses reconnues qui excède les revenus déterminants (art. 9 al. 1 LPC). Les revenus déterminants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37'500 fr. pour les personnes seules (art. 11 al. 1 let. c LPC). Sont également comprises dans les revenus déterminants, les ressources et parts de fortune dont un ayant droit s'est dessaisi (art. 11 al. 1 let. g LPC). Cette dernière disposition reprend le libellé de l’ancien art. 3c al. 1 let. g LPC, la jurisprudence en la matière est dès lors toujours applicable. 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a)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ne sont pas cumulatives, mais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La question de savoir si la renonciation à un élément de fortune en accomplissement d'un devoir moral constitue un dessaisissement de fortune a été laissée ouverte (ATF 131 V 329 consid. 4.2 à 4.4). b) Il y a lieu de prendre en compte dans le revenu déterminant tout dessaisissement sans limite de temps (Pierre FERRARI, Dessaisissement volontaire et prestations complémentaires à l'AVS/AI in RSAS 2002, p. 420). c)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(ATFA non publié P 65/04 du 29 août 2005, consid. 5.3.1; VSI 1994 p. 225 consid. 3b). d) A teneur de l'art. 17a de l'ordonnance sur les prestations complémentaires à l’assurance-vieillesse, survivants et invalidité du 15 janvier 1971 (OPC-AVS/AI; RS 831.301), la part de fortune dessaisie à prendre en compte (art. 11 al. 1 let. g LPC) est réduite chaque année de 10'000 francs (al. 1).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ATF non publié 8C_68/2008 du 27 janvier 2009, consid. 4.2.2.).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f)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(ATF non publié 8C_68/2008 du 27 janvier 2009, consid. 4.2.2).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A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ATFA non publié P 59/02 du 28 août 2003, consid. 3.3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En l'espèce, la recourante ne conteste pas le principe de la prise en compte d'un bien dessaisi. Elle estime toutefois qu'il y a lieu de retenir également un montant de 3'000 fr. par mois à titre de dépenses extraordinaires pour son propre usage en 2011, même à défaut de pièces justificatives. Il ressort clairement de la jurisprudence de notre Haute Cour que seules les dépenses justifiées par pièce peuvent être prises en considération. Par ailleurs, tant que ces dépenses sont établies par pièce ou tout autre moyen de preuve, elles ne peuvent être considérées comme biens dessaisis, à moins que ces dépenses aient été effectuées sans aucune contreprestation équivalente. Il n'est donc nullement interdit de s'offrir des plaisirs et de vivre au-dessus de ses moyens, comme précisé dans la jurisprudence précitée. Il n'en demeure pas moins que les dépenses doivent pouvoir être vérifiées. La recourante a en l'occurrence uniquement justifié des dépenses personnelles pour un montant 3'944 fr. 25, somme que l’intimé a pris en compte dans son calcul. Le calcul n'étant pas contesté pour le surplus, il y a lieu d'admettre qu'il est conforme à la loi. Cela étant, l'intimé était fondé à refuser à la recourante les prestations complémentaires, hormis le subside à l'assurance-maladie. Par conséquent, le recours sera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Laure GONDRAND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