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A/2797/2016 vom 26. August 2016</w:t>
      </w:r>
    </w:p>
    <w:p>
      <w:r>
        <w:t>GE Cour de justice, 2016-08-26, FR</w:t>
      </w:r>
    </w:p>
    <w:p>
      <w:r>
        <w:rPr>
          <w:b/>
        </w:rPr>
        <w:t xml:space="preserve">Quelle: </w:t>
      </w:r>
      <w:r>
        <w:t>https://mcp.opencaselaw.ch/entscheid/ge_gerichte_A_2797_2016</w:t>
      </w:r>
    </w:p>
    <w:p>
      <w:r>
        <w:t>FR: GE_GERICHTE A/2797/2016 du 26 août 2016</w:t>
      </w:r>
    </w:p>
    <w:p>
      <w:r>
        <w:t>IT: GE_GERICHTE A/2797/2016 del 26 agosto 2016</w:t>
      </w:r>
    </w:p>
    <w:p>
      <w:pPr>
        <w:pStyle w:val="Heading2"/>
      </w:pPr>
      <w:r>
        <w:t>Volltext</w:t>
      </w:r>
    </w:p>
    <w:p>
      <w:r>
        <w:t>Genève Cour de justice (Cour de droit public) Chambre administrative 26.08.2016 A/2797/2016</w:t>
      </w:r>
    </w:p>
    <w:p>
      <w:r>
        <w:t>A/2797/2016 ATA/726/2016 du 26.08.2016 ( FORMA ) , REFUSE RÉPUBLIQUE ET CANTON DE GENÈVE POUVOIR JUDICIAIRE A/2797/2016 - FORMA " ATA/726/2016 ![endif]--&gt; COUR DE JUSTICE Chambre administrative Décision du 26 août 2016 sur mesures provisionnelles et effet suspensif dans la cause Mineures A______ et B______, représentées par leurs parents Madame Et Monsieur C______, représentés par Me Philippe Eigenheer, avocat contre DÉPARTEMENT DE L'INSTRUCTION PUBLIQUE, DE LA CULTURE ET DU SPORT Vu le recours interjeté le 25 août 2016 par les mineures A______, née le ______ 2005, et B______, née le ______ 2007, représentées par leurs parents Madame Et Monsieur C______ (ci-après : les écolières) contre une décision, déclarée exécutoire nonobstant recours, du département de l'instruction publique, de la culture et du sport (ci-après : DIP) du 19 août 2016 rejetant leur recours contre la décision rendue le 26 juillet 2016 par la direction de l’établissement primaire D______ confirmant que les écolières seraient scolarisées dans l’établissement scolaire E______ dès la rentrée scolaire 2016-2017 ; vu la demande de restitution d’effet suspensif et de mesures provisionnelles dont est assorti le recours susmentionné ; vu l’audience de comparution personnelle des parties de ce jour, à laquelle les parents étaient représentés par leur conseil ; vu les art. 21 et 66 al. 3 de la loi sur la procédure administrative du 12 septembre 1985 ; vu l’art. 7 al. 1 du règlement de la chambre administrative du 21 décembre 2010 ; considérant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 qu’il ressort du dossier et de l’audience de ce jour que seul le choix de l’établissement scolaire pour les deux écolières est litigieux ; que le DIP a indiqué que ce choix résultait d’une réflexion approfondie, prenant en compte la situation globale de la famille, au-delà de la seule scolarisation des enfants, en intégrant les éléments connus de l’interaction école-famille, avec ce que cela emportait d’exigence en matière de ressources humaines expérimentées ; que l’établissement E______ avait été retenu car son rattachement au REP lui permettait de bénéficier de moyens accrus, en particulier un éducateur à temps plein dont le rôle était important non seulement pour l’enfant, mais également pour les relations école-parents étant précisé que l’aînée des enfants avait fait l’objet de signalement au SPMI et au TPAE en raison du conflit de loyauté, identifié par le DIP, dans lequel elle se trouvait entre ses parents et l’école, dès lors qu’elle recevait de ces deux pôles de référence des indications contradictoires notamment en matière de mode de résolution des conflits ; que la directrice de cet établissement était expérimentée et que des ressources supplémentaires avait en outre été allouées pour accueillir les écolières, dont le trajet entre leur domicile et l’école pouvait être effectué en moins d’un quart d’heure, en utilisant les transports publics ; que les établissements suggérés par les parents ne pouvaient accueillir les écolières soit parce que des incidents ayant laissé des traces avaient eu lieu avec la famille, ou en raison de l’existence de situations difficiles et de ressources humaines insuffisantes ; que le DIP a encore précisé que tous les établissements scolaires genevois suivaient le même programme ; que les parents ont persisté dans leur argumentation et leurs conclusions, insistant sur le fait que les écolières seraient placées dans une ambiance de travail difficile du fait que l’établissement choisi était intégré au REP ; qu’en l’espèce, s’il était fait droit à la requête, une telle mesure anticiperait la solution définitive qui sera rendue dans l’arrêt au fond, ce qui, en principe, n’est pas admissible ; que l’intérêt public à assurer une prise en charge optimale des écolières dans les circonstances particulières du cas d’espèce l’emporte sur l’intérêt de celle-ci à être scolarisée dans un établissement dont leurs parents estiment qu’il serait plus adéquat, les motifs pour s’y opposer apparaissant, à ce stade, relever de la convenance personnelle – ainsi pour les besoins géographiques – ou du sentiment subjectif – pour les besoins éducatifs ; qu’au vu de ce qui précède, la demande de restitution d’effet suspensif et de mesures provisionnelles sera refusée, le sort des frais de la procédure étant réservé jusqu’à droit jugé au fond. LA CHAMBRE ADMINISTRATIVE refuse la restitution de l’effet suspensif au recours ; refuse les mesures provisionnelles sollicitées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Eigenheer, avocat des recourantes,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