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A/2791/2015 vom 1. September 2015</w:t>
      </w:r>
    </w:p>
    <w:p>
      <w:r>
        <w:t>GE Cour de justice, 2015-09-01, FR</w:t>
      </w:r>
    </w:p>
    <w:p>
      <w:r>
        <w:rPr>
          <w:b/>
        </w:rPr>
        <w:t xml:space="preserve">Quelle: </w:t>
      </w:r>
      <w:r>
        <w:t>https://mcp.opencaselaw.ch/entscheid/ge_gerichte_A_2791_2015</w:t>
      </w:r>
    </w:p>
    <w:p>
      <w:r>
        <w:t>FR: GE_GERICHTE A/2791/2015 du 1 septembre 2015</w:t>
      </w:r>
    </w:p>
    <w:p>
      <w:r>
        <w:t>IT: GE_GERICHTE A/2791/2015 del 1 settembre 2015</w:t>
      </w:r>
    </w:p>
    <w:p>
      <w:pPr>
        <w:pStyle w:val="Heading2"/>
      </w:pPr>
      <w:r>
        <w:t>Volltext</w:t>
      </w:r>
    </w:p>
    <w:p>
      <w:r>
        <w:t>Genève Cour de justice (Cour de droit public) Chambre administrative 01.09.2015 A/2791/2015</w:t>
      </w:r>
    </w:p>
    <w:p>
      <w:r>
        <w:t>A/2791/2015 ATA/893/2015 du 01.09.2015 ( DIV ) , IRRECEVABLE En fait En droit RÉPUBLIQUE ET CANTON DE GENÈVE POUVOIR JUDICIAIRE A/2791/2015 - DIV ATA/893/2015 COUR DE JUSTICE Chambre administrative Arrêt du 1 er septembre 2015 dans la cause COMMISSION A______, composée de Madame B______ Madame C______ Monsieur D______ représentés par Me Gabriel Aubert, avocat contre VILLE DE GENÈVE EN FAIT 1) Le 16 juin 2015, le conseil administratif de la Ville de Genève (ci-après : la ville) a indiqué à la « commission A______» (ci-après : A______), composée de Mesdames B______ et C______ ainsi que de Monsieur D______, que le groupe sculpté « E______ » de F______ retournerait à la Villa La Grange dès le début des travaux de rénovation du musée d’Art et d’Histoire, lieu où se trouvait actuellement l’œuvre. Dits travaux devaient débuter prochainement. ![endif]&gt;![if&gt; 2) Le 18 août 2015, A______ ont saisi la chambre administrative de la Cour de justice (ci-après : la chambre administrative) d’un recours contre le courrier susmentionné, concluant à ce qu’elle confirme la décision de la ville de replacer le groupe statutaire F______à la Villa La Grange, qu’elle annule la condition selon laquelle la restitution n’aurait lieu que si des travaux de rénovation du musée d’Art et d’Histoire étaient décidés et au début de ces travaux et qu’elle dise que le groupe statutaire en cause devait être replacé sans délai et définitivement à la Villa La Grange.![endif]&gt;![if&gt; 3) Le 21 août 2015, la chambre administrative a transmis copie du recours à la ville. ![endif]&gt;![if&gt; 4) Sur quoi, la cause a été gardée à juger. ![endif]&gt;![if&gt; EN DROIT 1)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![endif]&gt;![if&gt; Elle examine d'office sa compétence (art. 1 al. 2, art. 6 al. 1 let. b et art. 11 al. 2 de la loi sur la procédure administrative du 12 septembre 1985 - LPA -E 5 10). 2) Le recours à la chambre administrative est ouvert contre les décisions des autorités et juridictions administratives au sens des art. 4, 4A, 5, 6 al. 1 let. a et e, et 57 LPA. Sont réservées les exceptions prévues par la loi (art. 132 al. 2 LOJ). ![endif]&gt;![if&gt; 3)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Le courrier du 16 juin 2015 s’inscrit dans le contexte de la bonne exécution d’une donation comportant des éléments successoraux faite à la ville par un particulier, dont la mise en œuvre des dernières volontés incomberait aux exécuteurs testamentaires, étant précisé que la question de leur légitimité à revêtir cette qualité souffrira de n’être pas examinée par la chambre de céans vu ce qui suit. Dans ce contexte, la ville n’intervient pas en qualité d’autorité détentrice de la puissance publique mais comme bénéficiaire de la donation, en application des dispositions pertinentes du Code civil suisse du 10 décembre l907 (CCS - RS 210). Les donations dont l’exécution est fixée au décès du donateur sont soumises aux règles concernant les dispositions pour cause de mort (art. 245 al. 2 CCS). Le litige opposant la ville et les exécuteurs testamentaires ressortit donc au droit privé, de sorte que le courrier en cause n’est pas une décision au sens de l’art. 4 LPA. Il s’ensuit que le recours est irrecevable, sans acte d’instruction (art. 72 LPA). 4) Vu l’issue du litige, un émolument de CHF 500.- sera mis à la charge des exécuteurs testamentaires, pris conjointement et solidairement. Aucune indemnité de procédure ne sera allouée (art. 87 LPA).![endif]&gt;![if&gt; * * * * * PAR CES MOTIFS LA CHAMBRE ADMINISTRATIVE déclare irrecevable le recours interjeté le 18 août 2015 par la « commission A______ » composée de Mesdames B______ et C______ ainsi que de Monsieur D______ contre le courrier du 16 juin 2015 de la Ville de Genève ; met à la charge de la « commission A______ », pris conjointement et solidairement,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Gabriel Aubert, avocat de la « commission A______ », ainsi qu'à la Ville de Genève. Siégeants : M. Verniory, président, M. Thélin, Mme Junod, M. Dumartheray, Mme Payot Zen-Ruffinen, juges. Au nom de la chambre administrative : la greffière-juriste : M. Rodriguez Ellwanger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