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A/278/2024 vom 20. August 2024</w:t>
      </w:r>
    </w:p>
    <w:p>
      <w:r>
        <w:t>GE Cour de justice, 2024-08-20, FR</w:t>
      </w:r>
    </w:p>
    <w:p>
      <w:r>
        <w:rPr>
          <w:b/>
        </w:rPr>
        <w:t xml:space="preserve">Quelle: </w:t>
      </w:r>
      <w:r>
        <w:t>https://mcp.opencaselaw.ch/entscheid/ge_gerichte_A_278_2024</w:t>
      </w:r>
    </w:p>
    <w:p>
      <w:r>
        <w:t>FR: GE_GERICHTE A/278/2024 du 20 août 2024</w:t>
      </w:r>
    </w:p>
    <w:p>
      <w:r>
        <w:t>IT: GE_GERICHTE A/278/2024 del 20 agosto 2024</w:t>
      </w:r>
    </w:p>
    <w:p>
      <w:pPr>
        <w:pStyle w:val="Heading2"/>
      </w:pPr>
      <w:r>
        <w:t>Erwägungen</w:t>
      </w:r>
    </w:p>
    <w:p>
      <w:r>
        <w:rPr>
          <w:b/>
        </w:rPr>
        <w:t>E. 1</w:t>
      </w:r>
    </w:p>
    <w:p>
      <w:r>
        <w:t>La chambre administrative examine d’office et librement la recevabilité des recours qui lui sont soumis ( ATA/660/2022 du 23 juin 2022 consid. 1 et les références mentionnées).</w:t>
      </w:r>
    </w:p>
    <w:p>
      <w:r>
        <w:rPr>
          <w:b/>
        </w:rPr>
        <w:t>E. 1.1</w:t>
      </w:r>
    </w:p>
    <w:p>
      <w:r>
        <w:t>Interjeté devant l'autorité compétente et dans le délai de dix jours prescrit par l'art. 62 al. 1 let b LPA , le recours est recevable sous ces deux aspects (art. 132 de la loi sur l'organisation judiciaire du 26 septembre 2010 - LOJ - E 2 05), la décision ordonnant l’appel en cause étant une décision incidente (arrêt du Tribunal fédéral 2C_234/2011 du 23 août 2011 consid. 3.2 ; ATA/64/2014 du 4 février 2014 consid. 3), ce qu’aucune partie ne conteste.</w:t>
      </w:r>
    </w:p>
    <w:p>
      <w:r>
        <w:rPr>
          <w:b/>
        </w:rPr>
        <w:t>E. 1.2</w:t>
      </w:r>
    </w:p>
    <w:p>
      <w:r>
        <w:t>Selon l'art. 57 let. c LPA in initio , les décisions incidentes peuvent faire l'objet d'un recours si elles risquent de causer un préjudice irréparable. Selon la même disposition in fine , elles peuvent également faire l'objet d'un tel recours si cela conduisait immédiatement à une solution qui éviterait une procédure probatoire longue et coûteuse.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La chambre administrative a précisé à plusieurs reprises que l'art. 57 let. c LPA devait être interprété à la lumière de ces principes ( ATA/1622/2017 du 19 décembre 2017 consid. 4c et les arrêts cités). Cette interprétation est critiquée par certains auteurs qui l'estiment trop restrictive (Stéphane GRODECKI/Romain JORDAN, Questions choisies de procédure administrative, SJ 2014 II p. 458 ss). Elle a néanmoins été confirmée par le Tribunal fédéral (arrêt 2C_1156/2018 consid. 4.3). La jurisprudence considère que les décisions admettant un appel en cause n'occasionnent pas de préjudice irréparable (ATF 132 I 13 consid. 1.1 ; arrêt du Tribunal fédéral 1C_149/2008 du 12 août 2008 consid. 2.1). Il en va différemment des décisions refusant un appel en cause (ATF 134 III 379 consid. 1.1 ; 132 I 13 consid. 1.1). Sans doute l'appelé en cause peut-il se trouver impliqué contre son gré dans une procédure pendante entre des tiers en cas d'attraction au procès.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sur le fond. La situation n'est pas différente pour les autres parties à la procédure. L'intervention d'une partie supplémentaire ne cause pas un préjudice irréparable ; le fait que l'appel en cause intervienne le cas échéant en dernière instance cantonale n'y change rien (arrêt du Tribunal fédéral 1C_11/2015 du 13 janvier 2015 consid. 2.2).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1.3</w:t>
      </w:r>
    </w:p>
    <w:p>
      <w:r>
        <w:t>En l’espèce, le TAPI a retenu qu’il n’apparaissait pas que le D______ bénéficiait d’un intérêt suffisant, nécessaire selon l’art. 71 LPA pour être appelé en cause. Le recourant n’avait pas spécifiquement motivé sa demande d’appel en cause, alors qu’il supportait le fardeau de la preuve. Dans son recours contre le refus d’appeler le D______ en cause, le recourant fait valoir que la décision du TAPI « cible directement le recourant et de manière spécifique en refusant d’appeler en cause le D______, qui collabore avec lui sur plusieurs projets pérennes concernant son terrain, et notamment le cabanon litigieux, lui octroyant ainsi un intérêt particulier ». Il y a ainsi lieu d’examiner si le recourant est exposé à un préjudice irréparable par le refus d’appeler en cause le D______. Le litige porte sur la régularisation du cabanon dont le département dit qu’il a été reconstruit par le recourant sur la parcelle. Le département a refusé la régularisation au motif qu’elle était contraire à l’art. 11 al. 1 LForêts en raison de la distance à la lisière de la forêt, et qu’elle ne pouvait bénéficier d’une exception, car le déplacement du cabanon n’était pas rationnel en matière de conservation des espèces, la prairie abritant une espèce menacée. Par ailleurs, elle n’avait pas été autorisée et ne pouvait bénéficier de la garantie de la situation acquise de l’art. 27c LaLAT : le recourant avait procédé au remplacement de l’ancienne construction, qui menaçait de s’effondrer, la rehaussant notamment de 70 cm et la couvrant d’un toit de tuiles. Enfin, dans le périmètre de protection des rives du Rhône, aucune construction nouvelle ne pouvait être érigée, à l’exception de constructions d’utilité publique imposées par leur destination (art. 3 al. 1 LPPRhône). Dans son recours contre le refus de régularisation, le recourant se prévaut d’une situation acquise de longue date et de l’attitude contradictoire de l’autorité, le précédent propriétaire ayant pu croire de bonne foi que le silence qui avait suivi sa requête de 1986 valait acceptation. Il se plaint de l’attitude changeante de l’autorité dans la présente procédure, qui l’avait initialement poussé à projeter de déplacer le cabanon par rapport à la lisière de la forêt. Il fait valoir qu’il n’a pas transformé la construction existante, se cantonnant à des travaux d’embellissement tels le ponçage, le vernissage et la peinture, dans le dessein d’accueillir des projets ornithologiques. Il reproche enfin au département de n’avoir pas correctement pesé les intérêts en présence. « Outre le fait de priver les enfants d’une expérience éducative et ludique, et de compromettre une association dédiée à la protection des oiseaux migrateurs, la destruction du cabanon entraînerait également des dommages significatifs à la faune locale, ce qui représente une préoccupation d’intérêt public majeur, aussi bien pour nos futures générations que pour la protection de l’environnement ». C’est dans ce cadre qu’il fait valoir un intérêt général à l’appui d’une dérogation en faveur du cabanon, dont l’emplacement serait imposé par sa destination. Force est de constater que les griefs du recourant relatifs à la situation acquise sont sans rapport avec l’activité du D______. Le recourant ne rend par ailleurs pas vraisemblable que le fait que le D______ ne soit pas partie à la procédure l’empêcherait de faire valoir efficacement ses arguments en matière d’environnement, de protection de l’avifaune à l’appui de l’octroi d’une exception au principe d’inconstructibilité du terrain. Il a pu produire devant le département et le TAPI les pièces nécessaires pour asseoir son argumentation. Cela étant, le recourant a produit la convention du 30 mars 2023 le liant au D______. Il ne fait, certes, pas valoir que le rejet de son recours l’exposerait à une action du D______ fondée sur la convention. Cependant, celle-ci stipule une mise à disposition gracieuse de la parcelle pour une durée de 20 ans « dans le but de favoriser un biotope ainsi que la nidification et la protection de différentes espèces d’oiseaux sauvages faisant halte sur la parcelle, de développer des projets scientifiques, des observations ainsi que des ateliers pédagogiques théoriques et pratiques en lien avec l’avifaune » (art. 4 al. 2). Elle ne prévoit pas de clause pénale mais prévoit la résiliation anticipée avec un préavis d’un an lorsque, du fait de circonstances graves, son exécution devient intolérable (art. 2). La procédure au fond n’a, certes, en vue que le cabanon, de sorte que les prestations promises au D______ par le recourant telles que l’accès à la parcelle elle-même, la pose de nichoirs sur les arbres et l’observation en milieu naturel, de même que la plantation d’une haie, ne sont pas menacées par le refus d’autorisation. Cela étant, il ressort de la convention que le cabanon est utilisé par le D______ pour des activités pédagogiques, de sorte qu’il ne peut être exclu que ce dernier agisse contre le recourant s’il était privé de son utilisation par suite du refus d’autorisation par le département. Le recourant a ainsi un intérêt à ce que le jugement du TAPI soit opposable au D______ et à ce que ce dernier puisse participer à la procédure. Il possède partant un intérêt à obtenir sans attendre une décision sur l’appel en cause du D______ à peine de subir un préjudice irréparable, de sorte que son recours est recevable.</w:t>
      </w:r>
    </w:p>
    <w:p>
      <w:r>
        <w:rPr>
          <w:b/>
        </w:rPr>
        <w:t>E. 1.4</w:t>
      </w:r>
    </w:p>
    <w:p>
      <w:r>
        <w:t>Le recourant a lui-même contresigné son recours, de sorte que la qualité du mandataire professionnellement qualifié (ci-après : MPQ) de SKS CONSULTANTS Sàrl n’a pas à être examinée.</w:t>
      </w:r>
    </w:p>
    <w:p>
      <w:r>
        <w:rPr>
          <w:b/>
        </w:rPr>
        <w:t>E. 2</w:t>
      </w:r>
    </w:p>
    <w:p>
      <w:r>
        <w:t>Le recourant reproche au TAPI d’avoir retenu à tort que le D______ ne bénéficiait pas d’un intérêt suffisant et nécessaire au sens de l’art. 71 LPA pour être appelé en cause, et de lui avoir fait grief de ne pas l’avoir motivé alors qu’il supportait le fardeau de la preuve.</w:t>
      </w:r>
    </w:p>
    <w:p>
      <w:r>
        <w:rPr>
          <w:b/>
        </w:rPr>
        <w:t>E. 2.1</w:t>
      </w:r>
    </w:p>
    <w:p>
      <w:r>
        <w:t>L’art. 71 LPA prévoit que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 ATA/872/2022 du 30 août 2022 consid. 3c et les arrêts cités), mais a pour but de sauvegarder le droit d’être entendu des personnes n’étant pas initialement parties à la procédure (arrêt du Tribunal fédéral 1C_134/2010 du 28 septembre 2010 consid. 4.2). Ce dernier but est reconnu par la jurisprudence du Tribunal fédéral (arrêt du Tribunal fédéral 1C_505/2008 du 17 février 2009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 L'institution de l'appel en cause est aussi dictée par un souci d'économie de procédure dans la mesure où il a pour fonction d'éviter le déroulement d'une autre procédure sur les mêmes questions litigieuses. Il permet en outre de prévenir le prononcé de décisions ou de jugements contradictoires. Lorsque le juge appelle en cause une partie, il n'a en principe pas besoin d'entendre les participants à la procédure (Stéphane GRODECKI/Romain JORDAN, op. cit. , n. 903 ss ad art. 71 LPA et les références citées).</w:t>
      </w:r>
    </w:p>
    <w:p>
      <w:r>
        <w:rPr>
          <w:b/>
        </w:rPr>
        <w:t>E. 2.2</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ATA/905/2022 du 6 septembre 2022 consid. 3b et l'arrêt cité ; Stéphane GRODECKI/Romain JORDAN, op. cit. , p. 184 n. 698). Cette notion de l’intérêt digne de protection est identique à celle de l’art. 89 al. 1 let. c LTF que les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En application de ces principes, le recours d’un particulier ou d'une association, formé dans l’intérêt général ou d’un tiers, est irrecevable (ATF 138 II 162 consid. 2.1.1 ; arrêt du Tribunal fédéral 1C_61/2019 du 12 juillet 2019 consid. 1.2 ; ATA/23/2021 du 12 janvier 2021 consid. 4). Le lien de connexité est clair lorsque le recourant est l’un des destinataires de la décision (François BELLANGER, La qualité pour recourir, in François BELLANGER/Thierry TANQUEREL éd., Le contentieux administratif, 2013, p. 116).</w:t>
      </w:r>
    </w:p>
    <w:p>
      <w:r>
        <w:rPr>
          <w:b/>
        </w:rPr>
        <w:t>E. 2.3</w:t>
      </w:r>
    </w:p>
    <w:p>
      <w:r>
        <w:t>Tant le propriétaire que le titulaire d'un droit réel restreint (d'habitation, d'usufruit, de superficie, de gage, d'emption ou de préemption) ou d'un droit obligationnel, comme le locataire ou le fermier, ont par ailleurs en principe qualité pour recourir (PIERMARCO ZEN-RUFFINEN, La qualité pour recourir des tiers dans la gestion de l'espace, in : Thierry TANQUEREL/François BELLANGER, éd., Les tiers dans la procédure administrative, 2004, p. 185 et les références). 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 ATA/1755/2019 du 3 décembre 2019 et les références citées).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(arrêt du Tribunal fédéral 1C_61/2011 du 4 mai 2011 ; ATA/710/2021 du 6 juillet 2021 ; ATA/985/2020 du 6 octobre 2020).</w:t>
      </w:r>
    </w:p>
    <w:p>
      <w:r>
        <w:rPr>
          <w:b/>
        </w:rPr>
        <w:t>E. 2.4</w:t>
      </w:r>
    </w:p>
    <w:p>
      <w:r>
        <w:t>Ont aussi qualité pour recourir les organisations auxquelles la loi reconnaît le droit de recourir (art. 60 al. 1 let. e LPA). Ainsi, ont qualité pour recourir contre une autorisation de construire,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(art. 145 al. 3 LCI).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ATA/85/2022 du 1 er février 2022 consid. 7b).</w:t>
      </w:r>
    </w:p>
    <w:p>
      <w:r>
        <w:rPr>
          <w:b/>
        </w:rPr>
        <w:t>E. 2.5</w:t>
      </w:r>
    </w:p>
    <w:p>
      <w:r>
        <w:t>En l’espèce, le TAPI a retenu qu’il ressortait du courrier du D______ du 10 janvier 2024 que des ateliers et activités nécessitant la présence du cabanon y étaient organisés et que ce dernier avait posés de nombreux nichoirs sur le cabanon et sur les arbres fruitiers de la parcelle. Il a cependant estimé que le recourant ne démontrait pas que l’utilisation par le D______ du cabanon se baserait sur un quelconque droit pérenne dont le D______ pourrait, le cas échéant, se prévaloir. Le D______ relève dans son courrier avoir pu organiser des ateliers d’observation de la faune locale et des événements locaux visant à la sensibilisation à la nature et à la préservation de l’avifaune, notamment avec la commune de Chancy, et poser de nombreux nichoirs sur le cabanon, et que « toutes ses activités que le D______ souhaitait mettre en place depuis de nombreuses années n’auraient pas pu voir le jour sans la mise à disposition [du] terrain et du cabanon […] ». Le D______ ajoute vouloir implanter des haies diversifiées courant 2024 et demander « très prochainement » l’autorisation d’édifier une volière au bas de la parcelle pour la réadaptation d’espèces particulièrement sensibles. Cela étant il n’évoque effectivement aucun droit durable ou permanent à l’utilisation, ainsi que l’a relevé le TAPI. Les images produites par le recourant devant le TAPI documentent des événements ponctuels montrant des enfants dehors devant le cabanon et réunis autour d’une longue table sous une tente voisinant ce dernier et visible sur les images satellites disponibles sur le site d’information du territoire genevois (SITG ; https://map.sitg.he.ch/app/), ainsi qu’autour d’une table à l’intérieur du cabanon. Une image montre par ailleurs deux nichoirs sur le cabanon. Le TAPI était ainsi fondé à considérer que le recourant n’avait pas établi de droit durable du D______ portant sur la parcelle et le cabanon. Le recourant a toutefois produit entre-temps devant la chambre de céans la convention du 30 mars 2023 le liant au D______. Celle-ci stipule comme il a été vu un droit d’utilisation totale de la parcelle durant 20 ans en faveur de celui-ci. La convention peut être qualifiée de prêt à usage, réglé par les art. 305 s. de la loi fédérale du 30 mars 1911 complétant le Code civil suisse (CO, Code des obligations - RS 220), lequel se distingue du contrat de bail (art. 253 s. CO) par le fait qu’aucun loyer n’est dû par l’emprunteur. Le statut du D______ peut ainsi être rapproché de celui du locataire. Le refus d’approuver les travaux effectués ne correspond certes ni à une autorisation de démolir ni à une autorisation de transformer. Il n’en demeure pas moins que par l’effet du refus d’autorisation l’emprunteur serait en l’espèce menacé de perdre l’usage de la chose. Il n’est par ailleurs pas soutenu que la convention aurait été résiliée. Il s’ensuit que le D______ doit pouvoir à ce stade déjà faire valoir ses intérêts et être appelé en cause. Il n’est ainsi pas nécessaire d’examiner si le D______ doit se voir reconnaître par ailleurs la qualité de partie au sens de l’art. 145 al. 3 LCI. Le recours sera admis, la décision attaquée annulée, l’appel en cause du D______ ordonné et la procédure retournée au TAPI.</w:t>
      </w:r>
    </w:p>
    <w:p>
      <w:r>
        <w:rPr>
          <w:b/>
        </w:rPr>
        <w:t>E. 3</w:t>
      </w:r>
    </w:p>
    <w:p>
      <w:r>
        <w:t>Vu l’issue du litige, un émolument réduit de CHF 500.- sera mis à la charge du recourant, bien qu’il obtienne gain de cause, dès lors qu’il n’a produit que tardivement devant la chambre de céans, et de manière fautive puisqu’il supportait le fardeau de la preuve, la convention établissant un droit durable de l’appelée en cause (art. 87 al. 1 LPA). Pour les mêmes motifs,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