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A/2779/2017 vom 23. November 2017</w:t>
      </w:r>
    </w:p>
    <w:p>
      <w:r>
        <w:t>GE Cour de justice, 2017-11-23, FR</w:t>
      </w:r>
    </w:p>
    <w:p>
      <w:r>
        <w:rPr>
          <w:b/>
        </w:rPr>
        <w:t xml:space="preserve">Quelle: </w:t>
      </w:r>
      <w:r>
        <w:t>https://mcp.opencaselaw.ch/entscheid/ge_gerichte_A_2779_2017</w:t>
      </w:r>
    </w:p>
    <w:p>
      <w:r>
        <w:t>FR: GE_GERICHTE A/2779/2017 du 23 novembre 2017</w:t>
      </w:r>
    </w:p>
    <w:p>
      <w:r>
        <w:t>IT: GE_GERICHTE A/2779/2017 del 23 novembre 2017</w:t>
      </w:r>
    </w:p>
    <w:p>
      <w:pPr>
        <w:pStyle w:val="Heading2"/>
      </w:pPr>
      <w:r>
        <w:t>Erwägungen</w:t>
      </w:r>
    </w:p>
    <w:p>
      <w:r>
        <w:rPr>
          <w:b/>
        </w:rPr>
        <w:t>E. 5</w:t>
      </w:r>
    </w:p>
    <w:p>
      <w:r>
        <w:t>ème Chambre En la cause Monsieur A______, domicilié à GENEVE Madame B______, domiciliée à ONEX demandeurs contre CAISSE PARITAIRE DE PRÉVOYANCE DE L'INDUSTRIE ET DE LA CONSTRUCTION (CPPIC), sise rue Malatrex 14, GENEVE FONDATION DE PREVOYANCE MANPOWER, sise rue Arnold Winkelried 4, GENEVE défenderesses EN FAIT 1.        Par jugement du 13 décembre 2016, la 16 ème chambre du Tribunal de première instance a prononcé le divorce de Madame B______ , née C______ le ______ 1973, et Monsieur A______ , né le ______ 1971, mariés en date du 16 août 1992. ![endif]&gt;![if&gt; 2.        Selon le chiffre 9 du jugement précité, le Tribunal de première instance a ordonné le partage par moitié des avoirs de prévoyance professionnelle acquis par chacun des époux durant le mariage.![endif]&gt;![if&gt; 3.        Le jugement de divorce est devenu définitif le 24 mai 2017, après correction d’une erreur matérielle, et a été transmis d'office à la chambre de céans le 27 juin 2017 pour exécution du partage.![endif]&gt;![if&gt; 4.        La chambre de céans a interpellé les institutions défenderesses en les priant de lui communiquer les montants des avoirs LPP des demandeurs acquis durant le mariage, soit entre le 16 août 1992 et le 24 mai 2017.![endif]&gt;![if&gt; 5.        Par courrier du 7 juillet 2017, la Caisse paritaire de prévoyance de l’industrie et de la construction (CPPIC) a informé la chambre de céans que le demandeur bénéficiait d’une prestation de libre passage de CHF 43'765.20. Le 18 juillet 2017 la Fondation de prévoyance Manpower a indiqué à la chambre de céans que le demandeur disposait d’une prestation de libre passage à la date du 31 août 2015 de CHF 9'982.-. Par courrier du 12 septembre 2017, elle a indiqué que le montant de l’avoir de vieillesse du demandeur augmenté des intérêts jusqu’au moment du divorce s'élevait à CHF 10'204.95.![endif]&gt;![if&gt; 6.        Selon le courrier de la Caisse cantonale genevoise de compensation, service des comptes individuels, du 13 juillet 2017, la demanderesse a perçu une rente d’invalidité entre le 1 er novembre 2012 et le 28 mars 2013. En conséquence, ses comptes individuels ont été clôturés en décembre 2011.![endif]&gt;![if&gt; 7.        Les investigations de la chambre de céans n'ont pas permis de découvrir les avoirs de vieillesse de la demanderesse.![endif]&gt;![if&gt; 8.        Le 19 septembre 2017, la chambre de céans a communiqué aux ex-époux sur quelle base elle procédera au partage de la prestation de sortie du demandeur. Elle a également invité la demanderesse à lui faire connaître les coordonnées de son compte de libre passage.![endif]&gt;![if&gt; 9.        Par courrier reçu le 31 octobre 2017, la demanderesse a informé la chambre de céans qu'elle n'avait pas bénéficié d'une rente d'invalidité d'une caisse de pension et qu'elle n'avait été affiliée à aucune institution de prévoyance professionnelle durant le mariage.![endif]&gt;![if&gt; 10.    Par courrier reçu le 1 er novembre 2017, la demanderesse a transmis à la chambre de céans les coordonnées de son compte de libre passage auprès de la Fondation de libre passage d’UBS SA.![endif]&gt;![if&gt; 11.    Sur ce, la cause a été gardée à juger.![endif]&gt;![if&gt; EN DROIT 1.        Avec une entrée en vigueur au 1 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Elles seront citées ci-après dans leur teneur antérieure au 1 er janvier 2017.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passage.![endif]&gt;![if&gt; 4.        a.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motifs.![endif]&gt;![if&gt; 5.        Le jugement de divorce, entré en force, lie en principe le juge compétent en vertu de l'art. 73 al. 1 LPP en ce qui concerne le partage à exécuter (ATF 134 V 384 consid. 4.2 p. 389).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225 ).![endif]&gt;![if&gt;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Toutefois, lorsque la survenance de l'âge de la retraite ou d'une invalidité concerne un époux qui n'est pas affilié à une institution de prévoyance professionnelle, un cas de prévoyance n'est pas survenu au sens de la loi (arrêt du Tribunal fédéral des assurances B 19/03 du 30 janvier 2004 consid. 5.1). 6.        En l'occurrence, il s'avère que la demanderesse a bénéficié d'une rente d’invalidité entre le 1 er novembre 2012 et le 28 mars 2013. Cependant, dans la mesure où elle n'était pas affiliée à une institution de prévoyance professionnelle, aucun droit aux prestations LPP n'a pu naître du fait de son invalidité. Partant, un cas d'assurance au sens de la loi n'est pas survenu, si bien que le partage de la prestation de sortie de son ex-mari est toujours possible.![endif]&gt;![if&gt; 7.        Le juge de première instance a ordonné le partage par moitié des prestations de sortie acquises durant le mariage par les demandeurs. Les dates pertinentes sont, d’une part, celle du mariage, le 16 août 1992, d’autre part le 24 mai 2017, date à laquelle le jugement de divorce est devenu exécutoire.![endif]&gt;![if&gt; 8.        Selon les renseignements recueillis, la prestation acquise pendant le mariage par le demandeur est de CHF 53'970.15 (CHF 43'765.20 + CHF 10'204.95.-), tandis que la demanderesse ne dispose d'aucun avoir de vieillesse. Ainsi, c’est le demandeur qui doit à son ex-épouse la somme de CHF 26'985.- (CHF 53'970.15 : 2).![endif]&gt;![if&gt;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10.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