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A/2776/2010 vom 14. Oktober 2010</w:t>
      </w:r>
    </w:p>
    <w:p>
      <w:r>
        <w:t>GE Cour de justice, 2010-10-14, FR</w:t>
      </w:r>
    </w:p>
    <w:p>
      <w:r>
        <w:rPr>
          <w:b/>
        </w:rPr>
        <w:t xml:space="preserve">Quelle: </w:t>
      </w:r>
      <w:r>
        <w:t>https://mcp.opencaselaw.ch/entscheid/ge_gerichte_A_2776_2010</w:t>
      </w:r>
    </w:p>
    <w:p>
      <w:r>
        <w:t>FR: GE_GERICHTE A/2776/2010 du 14 octobre 2010</w:t>
      </w:r>
    </w:p>
    <w:p>
      <w:r>
        <w:t>IT: GE_GERICHTE A/2776/2010 del 14 ottobre 2010</w:t>
      </w:r>
    </w:p>
    <w:p>
      <w:pPr>
        <w:pStyle w:val="Heading2"/>
      </w:pPr>
      <w:r>
        <w:t>Regeste</w:t>
      </w:r>
    </w:p>
    <w:p>
      <w:r>
        <w:t>Abus de droit. Conclusions. | La Commission de surveillance retient que la prétention dirigée contre le plaignant est manifestement dénuée de bases légales (ce que le poursuivant admet dans ses observations) et déclare la poursuite nulle. | CC.2 ; LP.8a.3 let.c</w:t>
      </w:r>
    </w:p>
    <w:p>
      <w:pPr>
        <w:pStyle w:val="Heading2"/>
      </w:pPr>
      <w:r>
        <w:t>Erwägungen</w:t>
      </w:r>
    </w:p>
    <w:p>
      <w:r>
        <w:rPr>
          <w:b/>
        </w:rPr>
        <w:t>E. 1</w:t>
      </w:r>
    </w:p>
    <w:p>
      <w:r>
        <w:t>La Commission de céans est compétente pour statuer sur les plaintes en matière d'exécution forcée (art. 17 LP ; art 10 al. 1 LaLP ; art. 56R al. 3 LOJ).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2.b. En l'espèce, le plaignant n'invoque pas expressément un abus de droit. Il déclare toutefois que le poursuivant n'aurait jamais dû engager une poursuite à son encontre. Dans sa lettre du 13 août 2008 jointe à la plainte, il le somme de la retirer, respectivement de l'annuler afin qu'aucune trace de cette procédure ne subsiste dans les registres de l'Office et de s'adresser, pour le règlement de son sinistre, au Centre de sinistre romand de la Compagnie d'Assurances X______ à Lausanne. La Commission de céans retient en conséquence que la présente plainte tend à la constatation de la nullité de la poursuite n° 10 xxxx52 D au motif qu'elle procède d'un abus de droit (Pauline Erard , in CR-LP, ad art. 17 n° 33 ; Pierre-Robert Gilliéron , Commentaire, ad art. 18 n° 63 et ad art. 20a n° 71 in fine ) et entrera en matière (art. 22 al. 1 LP).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 ATF 113 III 2 ,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rPr>
          <w:b/>
        </w:rPr>
        <w:t>E. 4</w:t>
      </w:r>
    </w:p>
    <w:p>
      <w:r>
        <w:t>En l'occurrence, il ressort de l'instruction de la cause que le plaignant est agent général de la Compagnie d'Assurances X______. A ce titre, il négocie la conclusion d'affaires pour sa mandante ou en conclut en son nom et pour son compte (art. 418a CO ; Dominique Dreyer , Commentaire romand - Code des obligations I ad art. 418 a n° 1). Il s'ensuit que la prétention dirigée contre le plaignant est manifestement dénuée de toutes bases légales et qu'il incombe au poursuivant de procéder, le cas échéant, à l'encontre de l'établissement précité (cf. DCSO/39/2010 du 21 janvier 2010 consid. 4). Dans sa détermination, le plaignant déclare d'ailleurs que sa réquisition de poursuite devait être considérée comme étant dirigée contre la Compagnie d'Assurances X______ et non contre son agent général genevois.</w:t>
      </w:r>
    </w:p>
    <w:p>
      <w:r>
        <w:rPr>
          <w:b/>
        </w:rPr>
        <w:t>E. 5</w:t>
      </w:r>
    </w:p>
    <w:p>
      <w:r>
        <w:t>La plainte sera donc admise et la poursuite n° 10 xxxx52 D déclarée nulle.</w:t>
      </w:r>
    </w:p>
    <w:p>
      <w:r>
        <w:rPr>
          <w:b/>
        </w:rPr>
        <w:t>E. 6</w:t>
      </w:r>
    </w:p>
    <w:p>
      <w:r>
        <w:t>Conformément à l'art. 8a al. 3 let. c LP, cette poursuite ne devra pas être portée à la connaissance de tiers (arrêt du Tribunal fédéral du 19 septembre 2006 7B.88/2006 ; ATF 115 III 24 consid. 2b). * * * * * PAR CES MOTIFS, LA COMMISSION DE SURVEILLANCE SIÉGEANT EN SECTION : A la forme : Déclare recevable la plainte formée le 18 août 2010 par M. P______ contre la poursuite n° 10 xxxx52 D. Au fond : Constate la nullité de la poursuite n° 10 xxxx52 D.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