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A/2772/2014 vom 28. April 2015</w:t>
      </w:r>
    </w:p>
    <w:p>
      <w:r>
        <w:t>GE Cour de justice, 2015-04-28, FR</w:t>
      </w:r>
    </w:p>
    <w:p>
      <w:r>
        <w:rPr>
          <w:b/>
        </w:rPr>
        <w:t xml:space="preserve">Quelle: </w:t>
      </w:r>
      <w:r>
        <w:t>https://mcp.opencaselaw.ch/entscheid/ge_gerichte_A_2772_2014</w:t>
      </w:r>
    </w:p>
    <w:p>
      <w:r>
        <w:t>FR: GE_GERICHTE A/2772/2014 du 28 avril 2015</w:t>
      </w:r>
    </w:p>
    <w:p>
      <w:r>
        <w:t>IT: GE_GERICHTE A/2772/2014 del 28 aprile 2015</w:t>
      </w:r>
    </w:p>
    <w:p>
      <w:pPr>
        <w:pStyle w:val="Heading2"/>
      </w:pPr>
      <w:r>
        <w:t>Erwägungen</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Selon l’art. 38 al. 3 phr. 1 LPGA, applicable via par renvoi de l’art. 60 al. 2 LPGA, lorsque le délai échoit un samedi, un dimanche ou un jour férié selon le droit fédéral ou cantonal, son terme est reporté au premier jour qui suit. Le droit cantonal déterminant est celui du canton ou la partie ou son mandataire a son domicile ou son siège (art. 38 al. 3 phr. 2 LPGA). Suite à la notification de la décision querellée le 15 août 2014, le délai de recours a commencé à courir le lendemain (art. 38 al. 1 LPGA) et est arrivé à échéance le dimanche 14 septembre 2014. Posté le 15 septembre 2014, le recours a été interjeté en temps utile. Le présent recours respecte les exigences de forme et de contenu prescrites par la loi (art. 61 let. b LPGA). Le recourant a qualité pour recourir (art. 59 LPGA). Le présent recours est donc recevable.</w:t>
      </w:r>
    </w:p>
    <w:p>
      <w:r>
        <w:rPr>
          <w:b/>
        </w:rPr>
        <w:t>E. 4</w:t>
      </w:r>
    </w:p>
    <w:p>
      <w:r>
        <w:t>À titre préliminaire, il y a lieu de déterminer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au recourant aussi bien le droit à des mesures d’ordre professionnel que celui à une rente. Cela étant, le recours dont est saisie la chambre de céans ne porte que sur le refus d’octroyer une rente. Partant, l’objet du litige se limite à la question du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d’une personne active,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En l’espèce il ressort du rapport d’expertise de la CRR du 1 er juillet 2013, rendu au terme de plus d’un mois d’observation, d’examens multiples, d’évaluations et de séances de physiothérapie que le recourant ne présente sur le plan somatique, en particulier neurologique et rhumatologique, aucune atteinte incapacitante à la santé. Fondée sur l’ensemble du dossier, retraçant une anamnèse fouillée tout en tenant compte des plaintes du recourant, cette expertise comporte un status objectif détaillé et nuancé ainsi que des conclusions convaincantes en tant qu’elle retient aucune incapacité de travail durable dans l’exercice de la profession habituelle de nettoyeur à l’aéroport. Partant, elle doit se voir reconnaître pleine valeur probante. b. Le recourant soutient qu’on ne saurait aboutir à une telle conclusion parce que les experts de la CRR ne seraient pas allés au bout de leurs investigations. Dans son rapport consécutif à la consultation de l’appareil locomoteur du 17 mai 2013, la Dresse O______ a indiqué qu’elle ne retrouvait ni signe inflammatoire périphérique ni limitation des amplitudes du rachis et que le bilan biologique ne montrait pas de syndrome inflammatoire. Elle avait certes indiqué que les douleurs paraissaient trop systématisées et diffuses pour pouvoir confirmer ou infirmer le diagnostic de rhumatisme psoriasique et que l’on pouvait imaginer procéder à une IRM des sacro-iliaques. Cela étant, il convient de relever que le diagnostic de rhumatisme psoriasique a bel et bien été retenu par les experts en consilium, mais que ces derniers ont considéré, sur la base des observations rassurantes de la Dresse O______, de radiographies du rachis cervical et lombaire et d’une IRM sacrale – non moins rassurantes – qu’il n’y avait rien, sur le plan rhumatologique, qui puisse limiter une reprise de l’activité professionnelle. S’agissant du rapport du Dr P______, on rappellera que les examens pratiqués par ce médecin n’ont pas permis de mettre en évidence une vestibulopathie périphérique expliquant actuellement les plaintes du patient. Il importe de souligner dans ce contexte que le bilan otoneurologique effectué par le Dr P______ constitue précisément une investigation supplémentaire qui a été décidée par les experts, après qu’ils eurent constaté qu’il existait des discordances aux résultats des tests avec des mouvements du tronc qui n’étaient pas des réactions de rattrapage mais d’action motrice (pièce 48 intimé, p. 6). Or, ledit bilan n’a fait que confirmer leur impression clinique de l’absence de tout signe d’une atteinte vestibulaire et – en tenant compte de l’ensemble des investigations sur le plan neurologique – de l’absence d’explication concernant la persistance des plaintes du recourant (pièce 48 intimé, p. 7). c. À bien suivre le recourant, des examens complémentaires auraient dû se poursuivre jusqu’à ce qu’ils concordent avec ses plaintes. Tel ne saurait être le cas. Selon la jurisprudence en effet, il est nécessaire mais il suffit que dans le cadre de la mission d’instruction qui est la sienne, l’expert soit en mesure de se faire une idée suffisante de l’état de santé de l’assuré (arrêt du Tribunal fédéral 9C _914/2010 du 2 décembre 2010 consid. 3). d. Le recourant reproche également aux experts de n’avoir pas tenu compte, dans leurs conclusions, du constat du physiothérapeute, M. Q______, selon lequel il n’y avait pas eu d’évolution notable des capacités fonctionnelles et fonctions organiques au terme de la prise en charge physiothérapeutique. Ce grief est également infondé. Premièrement, il ressort du rapport de M. Q______ que le recourant s’autolimitait pour tous les muscles clés testés et que ses plaintes étaient tant incohérentes qu’inconstantes. Deuxièmement, les experts ont précisément tenu compte du rapport de physiothérapie, en particulier du déconditionnement qui y est mentionné (« rapidement essoufflé et en sueur ») en concluant à une capacité de travail de 50% du 24 juin 2013 au 7 juillet 2013 « pour favoriser un reconditionnement professionnel » (pièce 48 intimé, p. 8) et sans limitation au-delà. e. De plus, le recourant fait grief à Mme N______ de ne pas s’être prononcée sur la capacité de travail alors qu’elle avait indiqué que les résultats d’ensemble était en phase avec le ressenti du patient. Par ailleurs, étant donné qu’elle avait mis en évidence des troubles visuels conséquents, il aurait fallu investiguer la question. Or, dans la mesure où ces troubles avaient été objectivés par le Dr S______ qu’après l’expertise, ces éléments nouveaux remettaient en cause les conclusions des experts. Ces reproches s’avèrent également dénués de pertinence. Premièrement, on ne saurait réduire la portée du rapport de Mme N______ à cette seule assertion en faisant abstraction de son contexte, à savoir que « sur le plan cognitif, les résultats d’ensemble sont donc rassurants et en phase avec le ressenti du patient » (pièce 48 intimé, p. 18). Deuxièmement, s’il est vrai que la skew deviation, diagnostiquée par le Dr S______ le 23 juillet 2013, a échappé aux experts de la CRR, il n’en demeure pas moins que le Dr S______ a expliqué, en date du 17 février 2014, que les plaintes de diplopie s’étaient nettement améliorées avec la mise en place de prismes sur les lunettes et qu’il avait conseillé au recourant de reprendre une activité professionnelle. Troisièmement, le Dr T______ indique certes – en lien avec les troubles oculaires – que le rendement du recourant serait réduit d’environ 50% s’il reprenait un travail d’informaticien, mais cette conclusion n’interfère en rien avec les conclusions des experts de la CRR qui retiennent une capacité de travail de 100% dans l’activité habituelle d’agent de nettoyage. f. Dans ses écritures du 9 décembre 2014, le recourant indique enfin qu’il suit actuellement « un traitement extrêmement lourd » afin de soulager son rhumatisme psoriasique, ajoutant que cela n’avait pas été pris en considération dans l’expertise et que ce traitement pouvait pourtant occasionner une grande fatigue. Ces objections s’avèrent également infondées. Il ressort du rappel anamnestique de l’expertise sur le plan ostéo-articulaire que le recourant était déjà sous traitement médicamenteux lorsqu’il a entamé son séjour à la CRR. Cette information est également corroborée par le rapport du Dr J______ du 8 avril 2013 (pièce 31 intimé, p. 1). Ainsi, pour autant que le traitement en question génère effectivement une grande fatigue, on ne saurait prétendre que celle-ci a échappé à l’appréciation des experts, ceux-ci ayant considéré de façon convaincante qu’il n’existait pas d’explication tangible aux limitations et restrictions avancées par ce dernier. g. Ainsi, l’argumentation développée par le recourant n’est pas de nature à remettre en cause les conclusions claires et bien motivées du rapport d’expertise de la CRR. Pour le surplus, la question des troubles oculaires et de leurs répercussions a été également éclaircie à satisfaction de droit par les Drs S______ et T______. Le premier a en effet attesté que la mise en place de prismes sur les lunettes de l’intéressé avait amélioré la symptomatologie au point qu’il recommandait la reprise d’une activité lucrative. Le second a quant à lui relevé que si les plaintes de diplopie survenaient facilement lorsque le recourant effectuait un effort de concentration visuelle important (lecture ou travail à l’ordinateur), les symptômes relatifs à ce trouble s’étaient nettement améliorés grâce au port des prismes précités, au point qu’un travail d’informaticien pouvait être exercé. Se fondant sur les plaintes du recourant faisant état d’une fatigue importante survenant après 30 à 45 minutes de lecture/travail à l’ordinateur, le Dr T______ a partant considéré que le rendement était diminué d’environ 50% en cas de reprise d’une activité d’informaticien. Le recourant tente encore de tirer argument des arrêts de travail délivrés par le Dr U______ les 11 octobre et 12 novembre 2013. Force est toutefois de constater que ces documents ne contiennent pas la moindre motivation et qu’en amont, soit le 29 juillet 2013, ce médecin faisait même état d’une légère amélioration depuis fin juin 2013, soit après l’expertise, au point qu’un retour au travail ultérieur était possible. Le Dr U______ ne mettant en exergue aucun élément qui aurait été ignoré par les experts de la CRR, en particulier par la Dresse O______, les certificats délivrés par ce rhumatologue traitant doivent céder le pas aux conclusions des experts de la CRR, en application des principes jurisprudentiels évoqués (cf. consid. 7c supra ). Au regard de ces éléments, l’état de santé du recourant et ses répercussions sur la capacité de travail exigible dans une activité adaptée a été suffisamment investigué. Partant, la mise en œuvre d’une expertise judiciaire pluridisciplinaire ne se justifie pas. C'est donc à juste titre que l'intimé a considéré que la capacité de travail exigible du recourant était de 100% dans une activité d’informaticien, ceci avec une diminution de rendement de 50%, mais qu’elle était pleine et entière dans une activité adaptée respectant les limitations fonctionnelles, soit une activité ne nécessitant pas d’effort oculaire important, ce à partir du 8 juillet 2013 (cf. rapport SMR du 8 août 2014).</w:t>
      </w:r>
    </w:p>
    <w:p>
      <w:r>
        <w:rPr>
          <w:b/>
        </w:rPr>
        <w:t>E. 11</w:t>
      </w:r>
    </w:p>
    <w:p>
      <w:r>
        <w:t>Reste à déterminer le degré d’invalidité du recourant en procédant à la comparaison des revenus, le statut du recourant étant celui d’une personne active. a. La comparaison des revenus s'effectue, en règle ordinaire, en comparant les revenus sans et avec invalidité chiffrés aussi exactement que possible,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 Dans l’hypothèse où un assuré présente une capacité de travail entière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12</w:t>
      </w:r>
    </w:p>
    <w:p>
      <w:r>
        <w:t>a. En l’occurrence, pour le revenu sans invalidité, l’intimé s’est référé aux salaires statistiques ressortant de l’Enquête suisse sur la structure des salaires (ESS), en raison de l’absence d’activité professionnelle durable. Il résulte en effet des pièces du dossier que le recourant a exercé, entre juin 2011 et juin 2012, la profession d’agent de nettoyage en qualité d’auxiliaire, soit avec un horaire de travail variable dépendant des missions proposées par l’employeur (cf. pièce 67 intimé). Au vu du manque d’informations concrètes et fiables sur le revenu sans invalidité et compte tenu du parcours professionnel du recourant, qui n’a jamais exercé d’activité dans le domaine informatique en Suisse – ce qu’il ne pourrait pas au demeurant sans une remise à niveau (cf. pièce 65 intimé) –, c’est à juste titre que l’intimé s’est fondé sur les données statistiques résultant des ESS 2010, tableau TA 1, ligne total, pour une activité de niveau 4 exercée à 100%. On rappellera que ce salaire statistique recouvre un large éventail d'activités variées et non qualifiées, n'impliquant pas de formation particulière (arrêt du Tribunal fédéral des assurances I 171/04 du 1 er avril 2005 consid. 4.2, in REAS 2005 p. 240). Quant au revenu d’invalide, il convient de se référer aux mêmes données statistiques puisque le recourant n’exerce aucune activité lucrative et qu’il présente une capacité de travail de 100% dans ce même panel d’activités. b. Dès lors qu’il est superflu de chiffrer précisément les revenus avec et sans invalidité en pareil cas (cf. consid. 11 supra ), il reste uniquement à examiner s’il y a lieu de procéder à une réduction du revenu d’invalide, ce que l’intimé s’est abstenu de faire dans la décision querellée. Selon la jurisprudence,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telle diminution (arrêt du Tribunal fédéral 9C_160/2014 du 30 juin 2014 consid. 5.1). Vu qu’en l’espèce, aucune diminution de rendement n’est attestée en lien avec une activité adaptée – soit une activité ne nécessitant pas d’effort oculaire important –, les limitations découlant du handicap visuel du recourant ne sauraient être prises en considération à titre de réduction supplémentaire. Pour le surplus, les autres critères admis par la jurisprudence ne sont pas non plus pertinents dans le cas particulier. Le recourant était âgé de 37 ans au moment de la décision, apte à travailler à plein temps et au bénéfice d’un permis de travail, de type B, accordé au titre du regroupement familial (époux d’une Suissesse), de sorte que son âge, son taux d’occupation possible et sa nationalité ne sont pas de nature à le désavantager, en termes salariaux, par rapport à d’autres travailleurs pour le type d’activités entrant en considération.</w:t>
      </w:r>
    </w:p>
    <w:p>
      <w:r>
        <w:rPr>
          <w:b/>
        </w:rPr>
        <w:t>E. 13</w:t>
      </w:r>
    </w:p>
    <w:p>
      <w:r>
        <w:t>Compte tenu de ce qui précède, le recours doit être rejeté.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(soit la chambre de céans [art. 134 al. 1 let. a ch. 2 LOJ])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du recourant.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