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A/2764/2007 vom 18. Dezember 2007</w:t>
      </w:r>
    </w:p>
    <w:p>
      <w:r>
        <w:t>GE Cour de justice, 2007-12-18, FR</w:t>
      </w:r>
    </w:p>
    <w:p>
      <w:r>
        <w:rPr>
          <w:b/>
        </w:rPr>
        <w:t xml:space="preserve">Quelle: </w:t>
      </w:r>
      <w:r>
        <w:t>https://mcp.opencaselaw.ch/entscheid/ge_gerichte_A_2764_2007</w:t>
      </w:r>
    </w:p>
    <w:p>
      <w:r>
        <w:t>FR: GE_GERICHTE A/2764/2007 du 18 décembre 2007</w:t>
      </w:r>
    </w:p>
    <w:p>
      <w:r>
        <w:t>IT: GE_GERICHTE A/2764/2007 del 18 dicembre 2007</w:t>
      </w:r>
    </w:p>
    <w:p>
      <w:pPr>
        <w:pStyle w:val="Heading2"/>
      </w:pPr>
      <w:r>
        <w:t>Regeste</w:t>
      </w:r>
    </w:p>
    <w:p>
      <w:r>
        <w:t>; ÉTABLISSEMENT PÉNITENTIAIRE ; DÉTENU ; EMPLOI(TRAVAIL) ; VOL(DROIT PÉNAL) ; MESURE DISCIPLINAIRE ; DÉCISION ; NOTIFICATION ORALE ; VOIE DE DROIT ; DÉLAI DE RECOURS ; NOTIFICATION IRRÉGULIÈRE ; DROIT D'ÊTRE ENTENDU ; PROPORTIONNALITÉ | Recours contre une décision de privation de travail prise par le directeur de la prison de Champ-Dollon et dirigée contre un détenu travaillant dans la cuisine de l'établissement. Notification irrégulière de la décision. Violation du droit d'être entendu réparé devant l'instance de recours. En l'espèce, la sanction repose sur une base légale suffisante et s'avère justifiée en tant qu'elle a été infligée suite à une infraction au règlement. Enfin, elle est conforme au principe de la proportionnalité. | LPA.46 ; LPA.47 ; RRIP.45 ; RRIP.47</w:t>
      </w:r>
    </w:p>
    <w:p>
      <w:pPr>
        <w:pStyle w:val="Heading2"/>
      </w:pPr>
      <w:r>
        <w:t>Erwägungen</w:t>
      </w:r>
    </w:p>
    <w:p>
      <w:r>
        <w:rPr>
          <w:b/>
        </w:rPr>
        <w:t>E. 2</w:t>
      </w:r>
    </w:p>
    <w:p>
      <w:r>
        <w:t>La notification irrégulière d’une décision ne doit entraîner aucun préjudice pour les parties (art. 47 LPA).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assortie de l’indication de la voie ou du délai de recours (P. MOOR, Droit administratif, vol. II, 2 e éd., Berne 2002, p. 304 et les références citées). Selon un principe général du droit - exprimé notamment à l’article 47 LPA -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 J.-F. EGLI, La protection de la bonne foi dans le procès, in : Juridiction constitutionnelle et juridiction administrative, Zurich 1992, p. 228 ; ATF 123 II 231 ; 119 IV 330 consid. 1c ; 117 Ia 297 consid. 2 ; ATA/800/2005 du 22 novembre 2005). En l’espèce, le vice affectant la communication de la sanction prononcée le 25 mai 2007 a eu pour conséquence que le délai permettant de former un recours contre cette décision n’a pu valablement commencer à courir. Le délai dans lequel a été interjeté le recours ne paraît pas déraisonnable au point de devoir conclure à son irrecevabilité. L’intimée ne saurait ainsi se prévaloir de la tardiveté d’un recours fondé sur une décision notifiée de manière irrégulière. Partant, le recours doit être déclaré recevable de ce point de vue.</w:t>
      </w:r>
    </w:p>
    <w:p>
      <w:r>
        <w:rPr>
          <w:b/>
        </w:rPr>
        <w:t>E. 3</w:t>
      </w:r>
    </w:p>
    <w:p>
      <w:r>
        <w:t>Les autres conditions de recevabilité sont également réunies en l’espèce. Le recourant possède la qualité de partie à la procédure, est directement touché par la décision attaquée et dispose d’un intérêt digne de protection à ce qu’elle soit annulée (art. 60 let. a et b LPA). Celui-ci s’avère, de plus, encore actuel puisque le recourant est toujours privé de la faculté de participer à l’atelier de cuisine ( ATA/958/2004 du 7 décembre 2004 ; ATA/666/2004 du 24 août 2004). Interjeté devant la juridiction compétente, le recours est ainsi recevable (art. 60 RRIP ; art. 56A de la loi sur l’organisation judiciaire du 22 novembre 1941 - LOJ - E 2 05).</w:t>
      </w:r>
    </w:p>
    <w:p>
      <w:r>
        <w:rPr>
          <w:b/>
        </w:rPr>
        <w:t>E. 4</w:t>
      </w:r>
    </w:p>
    <w:p>
      <w:r>
        <w:t>Aux termes de l’article 47 alinéa 2 RRIP, avant le prononcé de la sanction, le détenu doit être informé des faits qui lui sont reprochés et être entendu. Cette disposition reprend les garanties accordées par l’article 29 alinéa 2 Cst. Le droit d’être entendu comprend ainsi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Une décision entreprise pour violation du droit d’être entendu n’est pas nulle, mais annulable (Arrêt du Tribunal Fédéral 2P.207/2001 du 12 novembre 2001 consid. 5a et les arrêts cités). Toutefois, la violation de cette garantie constitutionnelle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ATA/2764/2007 du 17 avril 2007 et les références citées ;  P. MOOR, op. cit., Berne 2002, p. 283). En l’occurrence, il ne ressort ni du rapport d’incident, ni des dires du recourant que ce dernier a été entendu par le sous-chef de la prison avant la notification de cette sanction. Dans ces circonstances, c’est en violation du droit d’être entendu du détenu, tel qu’il est consacré par l’article 47 alinéa 2 RRIP, que la décision initiale a été prise. Ce vice formel n’entraîne toutefois pas l’admission du recours car le tribunal de céans connaît de la présente cause avec un plein pouvoir d’examen, soit le même que celui de l’autorité intimée, de sorte que conformément à la jurisprudence constante en la matière, le vice a été réparé par la procédure et l’instruction de la cause lors de l’audience de comparution personnelle au cours de laquelle le recourant a eu l’occasion d’être entendu.</w:t>
      </w:r>
    </w:p>
    <w:p>
      <w:r>
        <w:rPr>
          <w:b/>
        </w:rPr>
        <w:t>E. 5</w:t>
      </w:r>
    </w:p>
    <w:p>
      <w:r>
        <w:t>Selon l’article 45 lettre g RRIP, il est interdit aux détenus de sortir des locaux de travail des outils, des ustensiles, des matériaux ou des marchandises. La violation de cette disposition les expose aux sanctions prévues par l’article 47 alinéas 3 et 5 RRIP, dont la privation de travail fait partie (al. 3 let. e). a. L’article 47 RRIP fait partie du droit disciplinaire, qui constitue l’ensemble des sanctions qui peuvent toucher les personnes se trouvant dans une relation de droit particulière avec l’Etat, comme les fonctionnaires, les élèves ou les détenus. Du fait de cette relation de droit particulière, il ne peut être posé d’exigences trop strictes, de sorte que les sanctions reposant sur un règlement, soit sur une base légale au sens matériel, doivent être considérées comme conformes au principe de la légalité, ce d’autant plus que l’article 10 alinéa 1 RRIP prévoit son affichage dans chaque secteur de la prison et qu’une note spécifique aux ateliers de travail est placardée dans chaque atelier ( ATA/666/2004 du 24 août 2004 et la référence citée). b. Le rapport d’incident établi le 25 mai 2007 fait état de la découverte d’un citron et d’une crème chocolatée dans le casier du recourant. Ces denrées n’ont pas été distribuées au détenu par l’un ou l’autre des employés. Au contraire, le recourant affirme avoir pris le citron avec l’accord du surveillant et avoir reçu la crème d’un codétenu. Il n’a toutefois pas été en mesure de fournir plus de précisions quant à l’identité de ce dernier. Le fait que ces marchandises se soient trouvées dans le casier du recourant, ce qu’il ne conteste d’ailleurs pas, constitue cependant déjà une infraction au règlement. Peu importent les circonstances dans lesquelles elles ont été obtenues. C’est par conséquent à juste titre que le recourant a été puni du fait de la simple détention de ces objets en dehors des espaces réservés à l’atelier de travail.</w:t>
      </w:r>
    </w:p>
    <w:p>
      <w:r>
        <w:rPr>
          <w:b/>
        </w:rPr>
        <w:t>E. 6</w:t>
      </w:r>
    </w:p>
    <w:p>
      <w:r>
        <w:t>Le recourant soutient encore que la sanction qui lui a été infligée contreviendrait au principe de la proportionnalité. Selon l’article 47 alinéa 1 RRIP, si un détenu enfreint le règlement, une sanction proportionnée à sa faute, ainsi qu’à la nature et à la gravité de l’infraction, lui est infligée. Le principe de la proportionnalité, qui s’impose aux autorités administratives,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 p. 246 ; 119 Ia 41 consid. 4a p. 43). Le principe de la proportionnalité comporte traditionnellement trois aspects : d’abord, le moyen choisi doit être propre à atteindre le but visé (règle d’aptitude); deuxièmement, entre plusieurs moyens adaptés,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du terme) (cf. ATF 123 I 112 consid. 4e p. 121 et les arrêts cités ; ATA/270/2001 du 24 avril 2001). En l’espèce, les sanctions prévues par l’article 47 alinéa 3 RRIP sont reconnues comme des moyens efficaces d’assurer non seulement l’ordre de la prison mais aussi de punir les responsables d’une violation du règlement interne et empêcher leur récidive. Les sanctions prévues aux lettres a à d de cette disposition ne sont pas en lien avec les actes reprochés aux recourant et sont donc inadéquates dans le cas d'espèce. La privation de travail (let. e) apparaît en parfaite adéquation avec l’infraction commise par le recourant. Dans la mesure où le recourant a la possibilité de se réinscrire sur une liste d’attente en vue de l’obtention d’un autre travail, le principe de la proportionnalité est respecté. Ce grief sera donc également écarté.</w:t>
      </w:r>
    </w:p>
    <w:p>
      <w:r>
        <w:rPr>
          <w:b/>
        </w:rPr>
        <w:t>E. 7</w:t>
      </w:r>
    </w:p>
    <w:p>
      <w:r>
        <w:t>Au vu de ce qui précède, le recours sera rejeté et la décision du directeur de la prison confirmée.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