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A/274/2015 vom 4. März 2015</w:t>
      </w:r>
    </w:p>
    <w:p>
      <w:r>
        <w:t>GE Cour de justice, 2015-03-04, FR</w:t>
      </w:r>
    </w:p>
    <w:p>
      <w:r>
        <w:rPr>
          <w:b/>
        </w:rPr>
        <w:t xml:space="preserve">Quelle: </w:t>
      </w:r>
      <w:r>
        <w:t>https://mcp.opencaselaw.ch/entscheid/ge_gerichte_A_274_2015</w:t>
      </w:r>
    </w:p>
    <w:p>
      <w:r>
        <w:t>FR: GE_GERICHTE A/274/2015 du 4 mars 2015</w:t>
      </w:r>
    </w:p>
    <w:p>
      <w:r>
        <w:t>IT: GE_GERICHTE A/274/2015 del 4 marzo 2015</w:t>
      </w:r>
    </w:p>
    <w:p>
      <w:pPr>
        <w:pStyle w:val="Heading2"/>
      </w:pPr>
      <w:r>
        <w:t>Erwägungen</w:t>
      </w:r>
    </w:p>
    <w:p>
      <w:r>
        <w:rPr>
          <w:b/>
        </w:rPr>
        <w:t>E. 4</w:t>
      </w:r>
    </w:p>
    <w:p>
      <w:r>
        <w:t>ème Chambre En la cause Monsieur A______, domicilié à GENÈVE Madame A______, domiciliée à GENÈVE demandeur demanderesse EN FAIT 1.        Par jugement du 20 novembre 2014, la 6 ème chambre du Tribunal de première instance a prononcé la dissolution du mariage contracté le 6 mai 2005 à Genève par Madame A______, née B______ le ______ 1972 et Monsieur A______, né le ______1965. ![endif]&gt;![if&gt; 2.        Selon le chiffre 10 du dispositif du jugement précité, le Tribunal de première instance a ordonné le partage par moitié des avoirs de prévoyance professionnelle du demandeur acquis durant le mariage.![endif]&gt;![if&gt; 3.        Le jugement de divorce est devenu définitif le 16 janvier 2015 et a été transmis d'office à la chambre de céans le 28 janvier 2015 pour exécution du partage.![endif]&gt;![if&gt; 4.        Le 2 février 2015, la chambre de céans a requis de la caisse cantonale genevoise de compensation le rassemblement des comptes individuels du demandeur. Il résulte de l’extrait de compte produit par la caisse le 9 février 2015 que le demandeur, durant le mariage, n’a pas été soumis au paiement de cotisations LPP en raison de revenus insuffisants ou d’absence d’activité lucrative. ![endif]&gt;![if&gt; 5.        Ces documents ont été transmis aux parties en date du 12 février 2015. La juridiction leur a indiqué que le demandeur ne disposait d’aucun avoir LPP à partager et qu'à défaut d'observations d'ici au 25 février 2015,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existant au se montent à CHF .![endif]&gt;![if&gt; 4.        En l’espèce, le juge de première instance a ordonné le partage par moitié des prestations de sortie acquises durant le mariage par le demandeur. Les dates pertinentes sont, d’une part, celle du mariage, le 6 mai 2005, d’autre part le 16 janvier 2015, date à laquelle le jugement de divorce est devenu exécutoire.![endif]&gt;![if&gt; Selon les documents produits, la prestation acquise pendant le mariage par le demandeur est nulle. Partant, le partage est impossible. 5.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