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A/2749/2023 vom 6. März 2024</w:t>
      </w:r>
    </w:p>
    <w:p>
      <w:r>
        <w:t>GE Cour de justice, 2024-03-06, FR</w:t>
      </w:r>
    </w:p>
    <w:p>
      <w:r>
        <w:rPr>
          <w:b/>
        </w:rPr>
        <w:t xml:space="preserve">Quelle: </w:t>
      </w:r>
      <w:r>
        <w:t>https://mcp.opencaselaw.ch/entscheid/ge_gerichte_A_2749_2023</w:t>
      </w:r>
    </w:p>
    <w:p>
      <w:r>
        <w:t>FR: GE_GERICHTE A/2749/2023 du 6 mars 2024</w:t>
      </w:r>
    </w:p>
    <w:p>
      <w:r>
        <w:t>IT: GE_GERICHTE A/2749/2023 del 6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(cf. art. 82 a LPGA a contrario ).</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recourante conclut au versement d’une rente d’invalidité à compter du 1 er juin 2023, de sorte que les dispositions légales applicables seront citées dans leur nouvelle teneur.</w:t>
      </w:r>
    </w:p>
    <w:p>
      <w:r>
        <w:rPr>
          <w:b/>
        </w:rPr>
        <w:t>E. 4</w:t>
      </w:r>
    </w:p>
    <w:p>
      <w:r>
        <w:t>Le litige porte sur le droit de la recourante à une rente d’invalidité dès le 1 er juin 2023, singulièrement sur la question de la reprise de son invalidité.</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4.3.2</w:t>
      </w:r>
    </w:p>
    <w:p>
      <w:r>
        <w:t>Le trouble de la personnalité émotionnellement labile (F60.3) est un trouble de la personnalité caractérisé par 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empêchés. Deux types peuvent être distingués: le type impulsif, caractérisé principalement par une instabilité émotionnelle et un manque de contrôle des impulsions, et le type borderline, caractérisé en outre par des perturbations de l'image de soi, de l'établissement de projets et des préférences personnelles, par un sentiment chronique de vide intérieur, par des relations interpersonnelles intenses et instables et par une tendance à adopter un comportement autodestructeur, comprenant des tentatives de suicide et des gestes suicidaires.</w:t>
      </w:r>
    </w:p>
    <w:p>
      <w:r>
        <w:rPr>
          <w:b/>
        </w:rPr>
        <w:t>E. 5.1</w:t>
      </w:r>
    </w:p>
    <w:p>
      <w:r>
        <w:t>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5.2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w:t>
      </w:r>
    </w:p>
    <w:p>
      <w:r>
        <w:rPr>
          <w:b/>
        </w:rPr>
        <w:t>E. 5.3.1</w:t>
      </w:r>
    </w:p>
    <w:p>
      <w:r>
        <w:t>Aux termes de l’art. 88 a al. 1 RAI,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rPr>
          <w:b/>
        </w:rPr>
        <w:t>E. 5.3.2</w:t>
      </w:r>
    </w:p>
    <w:p>
      <w:r>
        <w:t>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 La jurisprudence a précisé que l'art. 29bis RAI est applicable uniquement au calcul de la période d'attente selon l'art. 28 al. 1 let. b LAI, et non à la détermination de la période d'attente selon l'art. 29 al. 1 LAI. Ainsi, en cas de nouvelle demande de rente, le délai de six mois prévu à l’art. 29 al. 1 LAI doit être respecté, celui-ci étant de nature procédurale (ATF 142 V 547 consid. 3). Dans un arrêt 8C_888/2011 du 7 mai 2012 considérant 5.2 (publié in SVR 2012 IV n° 48 p. 176), le Tribunal fédéral a jugé qu'aucune prestation de rente ne pouvait être octroyée avant le dépôt de la nouvelle demande, même si l'article 29bis RAI prévoit que sera déduite de la période d'attente celle qui a précédé le premier octroi (arrêt du Tribunal fédéral 9C_348/2014 du 16 octobre 2014 consid. 3.2.2). A noter que l’art. 29bis RAI trouve uniquement application lorsque la suppression de rente est entrée en force et que dans les trois ans, il y a une reprise de l’invalidité (MEYER / REICHMUTH, Rechtsprechung des Bundesgerichts zum Bundesgesetz über die Invalidenversicherung [IVG], 2022, n° 25 ad Art. 29 LAI).</w:t>
      </w:r>
    </w:p>
    <w:p>
      <w:r>
        <w:rPr>
          <w:b/>
        </w:rPr>
        <w:t>E. 5.4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œuvre une expertise lorsqu'il apparaît nécessaire de clarifier les aspects médicaux du cas (ATF 117 V 283 consid. 4a).</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6.2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7</w:t>
      </w:r>
    </w:p>
    <w:p>
      <w:r>
        <w:t>En l’espèce, le 2 avril 2021, la recourante a saisi l’intimé d’une demande de prestations en raison d’un trouble de la personnalité émotionnellement labile, de type borderline, avec pour conséquence une incapacité totale de travailler dans son activité habituelle d’assistante administrative et, dès le 1 er novembre 2021, une capacité de travail de 50% dans une activité adaptée aux limitations fonctionnelles retenues (intolérance à la contrainte, au stress et à l’ennui, conflictualité, fragilité / vulnérabilité au niveau des investissements amenant à des désinvestissements massifs à l’origine d’une perte de motivation [ persévérance]). De sa propre initiative, la recourante a toutefois postulé pour un poste d’assistante administrative dans une école de langue privée, pour lequel elle été engagée à compter du 3 octobre 2022. Compte tenu de la reprise d’une activité professionnelle pendant plus de trois mois, l’intimé a, à juste titre, limité la rente octroyée à la recourante au 31 octobre 2022. La seconde décision du 30 juin 2023 est par conséquent correcte sur ce point, ce qui n’est au demeurant pas contesté par la recourante. En revanche, comme cela ressort du courrier établi le 10 mai 2023 par le Dr L______, l’assurée semble avoir été totalement incapable de travailler au mois de mars et avoir tenté une reprise à 50% au mois d’avril, reprise qui s’est soldée par un échec. Elle a par la suite donné sa démission le 19 avril 2023, pour une date non connue mais probablement pour le 31 mai 2023. En effet, il ressort du recours du 1 er septembre 2023 que pour la recourante, son invalidité a repris suite à la fin de son contrat de travail, raison pour laquelle elle a conclu à l’octroi d’une rente entière dès le 1 er juin 2023. Dès lors que la potentielle reprise de l’invalidité a eu lieu avant même que l’OAI ne se prononce sur le droit à la rente de la recourante et qu’il ne lui octroie une rente limitée dans le temps par décision du 30 juin 2023, l’art. 29bis RAI ne trouve pas application, cette disposition nécessitant une suppression de la rente entrée en force au moment de la reprise de l’invalidité, ce qui n’était de toute évidence pas le cas en l’espèce. En revanche, l’intimé devait intégrer ce changement de circonstances dans sa décision, ce qu’il semble avoir fait, dès lors qu’il a soumis le courrier du Dr L______ du 10 mai 2023 à son SMR, lequel a toutefois considéré que c’était pour des motifs contextuels d’ordre professionnel que la recourante avait démissionné de son poste, motifs qui n’avaient pas à être pris en considération pour déterminer la capacité de travail. Allant dans le même sens, l’OAI a retenu, de son côté, dans sa réponse du 3 octobre 2023, que l’incapacité de travail résultait d’une difficulté pour la recourante de travailler avec l’employeur concret et non pas d’une incapacité de travail dans son domaine d’activité, le psychiatre faisant par ailleurs état de bonnes ressources intellectuelles et relationnelles. La chambre de céans ne saurait toutefois suivre les conclusions du SMR et de l’OAI. En effet, rien dans le courrier du Dr L______ ne permet de considérer que ce serait pour des motifs autres que médicaux que la recourante serait en incapacité totale de travailler dans son activité habituelle d’assistante administrative. Certes, ce médecin n’a pas été très précis en ce qui concerne les motifs pour lesquels la recourante avait démissionné. Cela étant, il a clairement exposé que « l’observation clinique [mettait] en évidence un non-aboutissement de sa tentative de travailler dans le marché libre en dehors d’une mesure AI, entreprise depuis octobre 2022, ceci faute du milieu professionnel en question de répondre à ses besoins particuliers issus de sa psychopathologie » ou encore qu’elle avait « rencontré des difficultés dans son activité professionnelle depuis le mois de mars [dues] à son état de santé qui s’[était] détérioré ». Le Dr L______ semble ainsi bien lier l’incapacité de travail de la recourante à son atteinte à la santé. Par ailleurs, le fait que la recourante dispose de bonnes ressources intellectuelles et relationnelles ne permet pas encore de considérer qu’elle est capable de travailler dans son activité habituelle d’assistante administrative. À toutes fins utiles, la chambre de céans rappelle encore que dans un arrêt 9C_984/2008 du 4 mai 2009, le Tribunal fédéral a considéré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I 198/76 du 4 octobre 1976 consid. 2, in RCC 1977 p. 206), les modifications structurelles que peut connaître le marché du travail sont des circonstances dont il y a lieu de tenir compte en matière d'assurance-invalidité (ATF I 436/92 du 29 septembre 1993 consid. 4c et 5b). La structure actuelle du marché du travail n'offre plus les conditions qui permettaient encore à une personne comme l'assuré,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de cet assuré, la nature et l'importance du trouble de la personnalité constitue, au regard des conditions actuelles du marché du travail, des obstacles irrémédiables à la reprise d'une activité lucrative salariée. Or, dans le cas présent, avant la reprise de l’activité professionnelle, le 3 octobre 2022, les médecins de la recourante avaient retenu les limitations fonctionnelles suivantes : intolérance à la contrainte, au stress et à l’ennui, conflictualité, fragilité/vulnérabilité au niveau des investissements amenant à des désinvestissements massifs à l’origine d’une perte de motivation/persévérance. Il ressort donc de ce qui précède que l’intimé a pris sa décision sur la base d’un dossier manifestement insuffisamment instruit. En effet, le courrier du Dr L______ n’est pas très précis sur les raisons pour lesquelles le poste en question ne répondait pas ou plus aux besoins particuliers de la pathologie de la recourante. Cela étant, en application du principe de l’instruction d’office au sens de l’art. 43 LPGA, il appartenait à l’OAI de solliciter des explications complémentaires de ce médecin et d’ordonner, au besoin, une expertise, avant de rendre une décision sur le droit à une rente en raison de la nouvelle incapacité de travail dans l’activité habituelle. Cette instruction complémentaire était d’autant plus indispensable que l’activité d’assistante administrative avait été dans un premier temps considérée comme inadaptée au vu des limitations fonctionnelles retenues par le Prof. I______ et par Mmes J______ et K______ dans leur rapport du 14 juillet 2021 et reprises par le Dr L______ dans son rapport du 30 septembre 2021 et vu les réserves que ce dernier a formulées dans son courrier du 10 novembre 2022, dans lequel il a notamment précisé qu’il s’agissait d’une tentative qui devait être considérée comme un essai, à observer et soutenir. Dans la mesure où seul le SMR s’est prononcé, un renvoi pour instruction complémentaire s’impose afin de respecter le principe du double degré de juridiction.</w:t>
      </w:r>
    </w:p>
    <w:p>
      <w:r>
        <w:rPr>
          <w:b/>
        </w:rPr>
        <w:t>E. 8</w:t>
      </w:r>
    </w:p>
    <w:p>
      <w:r>
        <w:t>Au vu de ce qui précède, il convient donc d’annuler la décision querellée en tant qu’elle ne se prononce pas sur le droit à une rente postérieurement au 30 avril 2023 et de renvoyer la cause à l’OAI pour instruction complémentaire sur cette question et nouvelle décision.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La procédure n’étant plus gratuite, l’intimé sera condamné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