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A/2746/2017 vom 28. September 2017</w:t>
      </w:r>
    </w:p>
    <w:p>
      <w:r>
        <w:t>GE Cour de justice, 2017-09-28, FR</w:t>
      </w:r>
    </w:p>
    <w:p>
      <w:r>
        <w:rPr>
          <w:b/>
        </w:rPr>
        <w:t xml:space="preserve">Quelle: </w:t>
      </w:r>
      <w:r>
        <w:t>https://mcp.opencaselaw.ch/entscheid/ge_gerichte_A_2746_2017</w:t>
      </w:r>
    </w:p>
    <w:p>
      <w:r>
        <w:t>FR: GE_GERICHTE A/2746/2017 du 28 septembre 2017</w:t>
      </w:r>
    </w:p>
    <w:p>
      <w:r>
        <w:t>IT: GE_GERICHTE A/2746/2017 del 28 settembre 2017</w:t>
      </w:r>
    </w:p>
    <w:p>
      <w:pPr>
        <w:pStyle w:val="Heading2"/>
      </w:pPr>
      <w:r>
        <w:t>Erwägungen</w:t>
      </w:r>
    </w:p>
    <w:p>
      <w:r>
        <w:rPr>
          <w:b/>
        </w:rPr>
        <w:t>E. 3</w:t>
      </w:r>
    </w:p>
    <w:p>
      <w:r>
        <w:t>ème Chambre En la cause Madame A______, domiciliée à CHÊNE-BOURG recourante contre OFFICE DE L'ASSURANCE-INVALIDITÉ DU CANTON DE GENÈVE, sis rue des Gares 12, GENÈVE intimé EN FAIT 1.        Madame A______ (ci-après : l’assurée) a été victime d’un accident le 31 octobre 2012 (chute dans les escaliers). ![endif]&gt;![if&gt; 2.        En janvier 2014, l’assurée a déposé une demande de prestations auprès de l’Office de l’assurance-invalidité du canton de Genève (ci-après : l’OAI). ![endif]&gt;![if&gt; 3.        Par décision du 19 août 2014, la Caisse nationale suisse d’assurance en cas d’accidents (Schweizerische Unfallversicherungsanstalt ; ci-après : la SUVA), qui avait pris en charge les suites de cet accident, a mis un terme à ses prestations avec effet au 30 août 2014. ![endif]&gt;![if&gt; 4.        Par décision du 23 novembre 2016, l’OAI a reconnu à l’assurée le droit à une rente entière à compter de juillet 2014. ![endif]&gt;![if&gt; L’OAI a considéré que si, du point de vue des suites de l’accident, l’assurée avait recouvré une pleine capacité de travail à compter du 1 er septembre 2014, les autres atteintes à sa santé justifiaient à elles seules une totale incapacité depuis juin 2014. 5.        Par courriel du 4 janvier 2017 adressé à l’OAI, l’assurée a indiqué être « perturbée » par le fait qu’une pleine capacité de travail lui soit reconnue dès le 1 er septembre 2014. Elle a allégué être toujours en arrêt de travail, car les pathologies psychiques découlant de l’accident persistent.![endif]&gt;![if&gt; Copie de ce courriel a été adressé par l’OAI à la Cour de céans le 31 mai 2017 comme objet de sa compétence. 6.        Invitée à régulariser son « recours » l’assurée s’est exécutée dans le délai qui lui avait été imparti. Elle a expliqué qu’elle conteste avoir recouvré une pleine capacité de travail depuis septembre 2014.![endif]&gt;![if&gt; 7.        Invité à se déterminer, l’OAI, dans sa réponse du 24 juillet 2017, a conclu au rejet du recours.![endif]&gt;![if&gt; L’intimé explique que la demande de prestations déposée en janvier 2014 l’a été tardivement et que, dès lors, le droit à la rente ne peut naître que six mois plus tard, soit, en l’espèce, en juillet 2014. 8.        Par écriture du 14 août 2017, l’assurée a persisté dans ses conclusions.![endif]&gt;![if&gt; 9.        Une audience de comparution personnelle a été convoquée pour le 14 septembre 2017, à laquelle la recourante a fait défaut sans s’excuser. ![endif]&gt;![if&gt; 10.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Interjeté dans la forme et le délai prévus par la loi, le recours est recevable à la forme, en vertu des art. 56ss LPGA.![endif]&gt;![if&gt; 5.        La recourante se contente de contester avoir recouvré une pleine capacité de travail en septembre 2014. ![endif]&gt;![if&gt; C’est le lieu de rappeler qu’a la qualité pour recourir quiconque est touché par la décision et a un intérêt digne d'être protégé à ce qu'elle soit annulée ou modifiée (art. 59 LPGA). Or, en l’occurrence, force est de constater que la recourante ne peut faire valoir aucun intérêt de ce type. En effet, sa position résulte d’une lecture lacunaire de la décision litigieuse : si l’intimé considère effectivement que les suites de l’accident n’ont plus eu d’influence sur la capacité de travail de l’intéressée au-delà du 31 août 2014, il admet en revanche que les autres atteintes à la santé ont entraîné à elles seules une totale incapacité à compter de juin 2014. C’est d’ailleurs la raison pour laquelle une rente a été octroyée à l’intéressée. Par ailleurs, on rappellera que la motivation d’un recours, pour être considérée comme valable, doit être topique. En conséquence, le recours doit être considéré comme irrecevable vu le défaut de pertinence de sa motivation et celui d’un intérêt digne de protection à agir.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