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A/2745/2017 vom 24. Oktober 2017</w:t>
      </w:r>
    </w:p>
    <w:p>
      <w:r>
        <w:t>GE Cour de justice, 2017-10-24, FR</w:t>
      </w:r>
    </w:p>
    <w:p>
      <w:r>
        <w:rPr>
          <w:b/>
        </w:rPr>
        <w:t xml:space="preserve">Quelle: </w:t>
      </w:r>
      <w:r>
        <w:t>https://mcp.opencaselaw.ch/entscheid/ge_gerichte_A_2745_2017</w:t>
      </w:r>
    </w:p>
    <w:p>
      <w:r>
        <w:t>FR: GE_GERICHTE A/2745/2017 du 24 octobre 2017</w:t>
      </w:r>
    </w:p>
    <w:p>
      <w:r>
        <w:t>IT: GE_GERICHTE A/2745/2017 del 24 ottobre 2017</w:t>
      </w:r>
    </w:p>
    <w:p>
      <w:pPr>
        <w:pStyle w:val="Heading2"/>
      </w:pPr>
      <w:r>
        <w:t>Erwägungen</w:t>
      </w:r>
    </w:p>
    <w:p>
      <w:r>
        <w:rPr>
          <w:b/>
        </w:rPr>
        <w:t>E. 1</w:t>
      </w:r>
    </w:p>
    <w:p>
      <w:r>
        <w:t>ère Chambre En la cause Madame A______, domiciliée à GENÈVE recourante contre SERVICE DES PRESTATIONS COMPLÉMENTAIRES, sis route de Chêne 54, GENÈVE intimé EN FAIT 1.        Madame A______ (ci-après l’assurée), née le ______ 1929, au bénéfice d’une rente de vieillesse, a déposé le 17 novembre 2016 une demande visant à l’octroi de prestations complémentaires. Elle a indiqué qu’elle avait fait donation à sa petite-fille, Madame B______, le 28 janvier 2016, d’une maison sise en Italie. Elle a joint à sa demande copie du certificat de donation y relatif établi par devant notaire, selon lequel la valeur de la maison était de 100'000.- euros.![endif]&gt;![if&gt; 2.        Par décision du 7 décembre 2016, le service des prestations complémentaires (ci-après le SPC) a nié son droit aux prestations complémentaires dès le 1 er janvier 2017, au motif que les dépenses reconnues étaient entièrement couvertes par le revenu déterminant. Il lui a en revanche reconnu, par décision du 3 janvier 2017, le droit à des prestations complémentaires fédérales à hauteur de CHF 1'116.- par mois dès le 1 er février 2017. Il a, pour les deux décisions, pris en considération des biens dessaisis à hauteur de CHF 110’530.-.![endif]&gt;![if&gt; 3.        Par courrier du 20 décembre 2016, reçu par le SPC le 23 janvier 2017, l’assurée, représentée par sa petite-fille, a formé opposition. Elle explique que![endif]&gt;![if&gt; « Due à votre décision, ma grand-mère se retrouve dans l’impossibilité de pouvoir aller en EMS. Mais vu son état psychologique et physique, elle est dans l’incapacité de rester à domicile. Elle se trouve actuellement à Belle-Idée dans l’attente d’une entrée en EMS. Ma grand-mère devait avoir une place à l’EMS la Vendée à la mi-janvier mais vu ses finances, l’EMS ne l’a pas prise. Ils la prendront si sa situation financière s’arrange. Apparemment c’est la donation qui pose problème. Ma grand-mère m’a fait la donation de la maison de mon enfance sans savoir les conséquences que ça pouvait avoir. Et moi aussi je ne savais pas. À la période où elle m’a fait la donation, elle allait très bien, nous n’avions pas pensé que ça pouvait poser problème. Et nous ne connaissions pas ces lois. Est-ce qu’il n’y aurait pas une solution ? Je suis ouverte à toute solution pour que ma grand-mère puisse finir sa vie dans de bonnes conditions ». 4.        Par décision du 23 mai 2017, le SPC a rejeté l’opposition. Il rappelle que l’assurée a fait donation à sa petite-fille d’un immeuble sis en Italie le 28 janvier 2016, et que la valeur de cet immeuble est de 100'000.- euros, soit CHF 110'530.-, et que c’est ce montant qui a été pris en considération à titre de bien dessaisi.![endif]&gt;![if&gt; Il précise par ailleurs que la décision du 20 décembre 2016 établit le droit de chaque bénéficiaire au 1 er janvier de l’année suivante pour tenir compte des modifications de barèmes ou des adaptations générales de rente. Elle n’apporte aucune correction individuelle. 5.        L’assurée, par l’intermédiaire de sa petite-fille, a interjeté recours le 21 juin 2017 contre ladite décision sur opposition.![endif]&gt;![if&gt; 6.        Dans sa réponse du 14 août 2017, le SPC a conclu au rejet du recours, répétant qu’en donnant l’immeuble à sa petite-fille, l’assurée s’était dessaisie d’un élément de fortune et de revenu et n’avait obtenu de cette transaction aucune contre-prestation.![endif]&gt;![if&gt; 7.        La chambre de céans a ordonné la comparution personnelle des parties le 19 septembre 2017 pour le 10 octobre 2017.![endif]&gt;![if&gt; 8.        Par courrier du 9 octobre 2017, le docteur C______, chef de clinique au département de réadaptation et de médecine palliative des HUG, a attesté de ce que l’assurée était hospitalisée aux HUG depuis le 3 mai 2016 et à l’hôpital de Loëx en service de réadaptation médicale dès le 8 mars 2017 pour une durée indéterminée, de sorte qu’elle était dans l’incapacité de se présenter à l’audience du 10 octobre 2017.![endif]&gt;![if&gt; 9.        Entendue par la chambre de céans, la petite-fille de l’assurée a confirmé que celle-ci lui avait donné cette maison en Italie sans contre-prestation. Elle a indiqué qu’elle avait mis le bien en vente dès l’été 2016, en vain. Elle souhaitait avoir un entretien avec un collaborateur du SPC afin de discuter de toutes les solutions envisageables.![endif]&gt;![if&gt; 10.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56 et 60 LPGA ; art. 43 LPCC). ![endif]&gt;![if&gt; 4.        Le litige porte sur le point de savoir si c’est à bon droit que le SPC a retenu à titre de bien dessaisi la valeur d’une maison sise en Italie, dont l’assurée a fait donation à sa petite-fille.![endif]&gt;![if&gt; 5.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les rentes de l’AVS et de l’AI (let. d), et les ressources et parts de fortune dont un ayant droit s’est dessaisi (let. g). c. L’art. 10 al. 1 let. a LPC, dans sa teneur en vigueur dès le 1er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 le montant annuel maximal reconnu est de CHF 13'200.- pour les personnes seules (ch. 1). 6.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420).![endif]&gt;![if&gt; b.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c.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L’art. 12 al. 1 OPC-AVS/AI précise que la valeur locative du logement occupé par le propriétaire ou l'usufruitier ainsi que le revenu provenant de la sous-location sont estimés selon les critères de la législation sur l'impôt cantonal direct du canton de domicile.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ATAS/237/2012 ; ATAS/43/2010 ; ATAS/732/2009 ). Le Tribunal fédéral a déjà eu l’occasion de juger que l’emploi de ce taux n'apparaissait pas comme excessif (ATF non publié P 57/05 du 29 août 2006). 7.        a. Selon l'art. 17a OPC-AVS/AI, la part de fortune dessaisie à prendre en compte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l'assuré a renoncé à des parts de fortune et le premier amortissement de fortune (Ralph JÖHL, Ergänzungsleistungen zur AHV/IV, in SBVR, 2ème éd. 2007, p. 1816 n. 247).![endif]&gt;![if&gt;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(un quinzième ou un dixième ; cf. 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La donation constitue par excellence un acte de dessaisissement au sens de l’article 3 al. 1 let. f LPC. Le TFA a ainsi confirmé le refus d’allouer des prestations complémentaires à une assurée qui ayant hérité de plusieurs centaines de milliers de francs dans la succession de son frère avait généreusement distribué sa fortune à diverses congrégations religieuses et à des personnes nécessiteuses (RDAT 1993 II 188 ). Constitue également un dessaisissement de parts de fortune le versement des recourants à leurs enfants d’un montant de CHF 80'000.- sans obligation juridique et contre-prestation adéquate (RCC 1992 p. 438) et le versement des recourants à leur fille de différents biens et créances estimés à CHF 178'422.-, cette dernière n’ayant fourni aucune contre-prestation équivalente. À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8.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 Tout comme en droit fédéral, le revenu déterminant comprend les ressources dont un ayant droit s’est dessaisi (art. 5 al. 1 let. j aLPCC et 7 al. 3 aLPCC, art. 5 al. 1 LPCC, qui renvoie au droit fédéral).![endif]&gt;![if&gt; On relèvera par ailleurs que la jurisprudence du TFA en matière de biens dessaisis rappelée supra s’applique mutatis mutandis en matière de prestations complémentaires cantonales. 9.        En l’espèce, il n’est pas contesté que le 28 janvier 2016, l’assurée a fait donation à sa petite-fille de la maison dont elle était propriétaire en Italie. ![endif]&gt;![if&gt; C’est en conséquence à bon droit, au vu de la jurisprudence susmentionnée, que le SPC a entendu tenir compte d’un bien dessaisi dans le calcul du revenu déterminant de l’assurée. C’est également à bon droit qu’il a pris en considération la valeur de l’immeuble au 28 janvier 2016 - non contestée - de 100'000.- euros, ce sur la base du certificat de donation établi par un notaire, soit CHF 110'530.-, selon le taux de conversion applicable (ch. 2087.1 des directives concernant les prestations complémentaires à l’AVS et à l’AI (DPC)).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