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A/2733/2022 vom 11. Oktober 2023</w:t>
      </w:r>
    </w:p>
    <w:p>
      <w:r>
        <w:t>GE Cour de justice, 2023-10-11, FR</w:t>
      </w:r>
    </w:p>
    <w:p>
      <w:r>
        <w:rPr>
          <w:b/>
        </w:rPr>
        <w:t xml:space="preserve">Quelle: </w:t>
      </w:r>
      <w:r>
        <w:t>https://mcp.opencaselaw.ch/entscheid/ge_gerichte_A_2733_2022</w:t>
      </w:r>
    </w:p>
    <w:p>
      <w:r>
        <w:t>FR: GE_GERICHTE A/2733/2022 du 11 octobre 2023</w:t>
      </w:r>
    </w:p>
    <w:p>
      <w:r>
        <w:t>IT: GE_GERICHTE A/2733/2022 del 11 ottobre 2023</w:t>
      </w:r>
    </w:p>
    <w:p>
      <w:pPr>
        <w:pStyle w:val="Heading2"/>
      </w:pPr>
      <w:r>
        <w:t>Erwägungen</w:t>
      </w:r>
    </w:p>
    <w:p>
      <w:r>
        <w:rPr>
          <w:b/>
        </w:rPr>
        <w:t>E. 2</w:t>
      </w:r>
    </w:p>
    <w:p>
      <w:r>
        <w:t>La recourante reproche au TAPI de ne pas avoir pris en considération la durée de son séjour au moment de la prise de décision par l'OCPM, respectivement au moment du jugement de première instance.</w:t>
      </w:r>
    </w:p>
    <w:p>
      <w:r>
        <w:rPr>
          <w:b/>
        </w:rPr>
        <w:t>E. 2.1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2.4</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2.5</w:t>
      </w:r>
    </w:p>
    <w:p>
      <w:r>
        <w:t>Dans le cadre d'une affaire relative à une requête d'autorisation de séjour en vue de regroupement familial, le Tribunal fédéral a considéré que c'est la nécessité du soutien matériel apporté dans leur pays d'origine ou de provenance par le ressortissant UE/AELE séjournant en Suisse au moment du dépôt de la demande qui est déterminant (cf. ATF 135 II 369 consid. 3.1 et 3.2; arrêts du Tribunal fédéral 2C_975/2022 du 20 avril 2023 consid. 6.1.1.; 2C_757/2019 du 21 avril 2020 consid. 4.2). Le Tribunal fédéral a également retenu qu'il convient de ne pas encourager les étrangers à vivre dans notre pays sans titre de séjour et de ne pas valider indirectement des comportements tendant à mettre l'État devant le fait accompli (cf. notamment arrêts du Tribunal fédéral 2C_734/2022 du 3 mai 2023 consid. 5.6 destiné à la publication aux ATF; 2C_882/2022 du 7 février 2023 consid. 4.7; 2D_33/2021 du 30 septembre 2021 consid. 5.5 et 2C_923/2017 du 3 juillet 2018 consid. 5.4).</w:t>
      </w:r>
    </w:p>
    <w:p>
      <w:r>
        <w:rPr>
          <w:b/>
        </w:rPr>
        <w:t>E. 2.6</w:t>
      </w:r>
    </w:p>
    <w:p>
      <w:r>
        <w:t>L'absence d'infractions pénales et de dépendance à l'assistance publique en Suisse constituent des aspects qui sont en principe attendus de tout étranger désireux de s'établir durablement en Suisse et ne constituent donc pas un élément extraordinaire en sa faveur (arrêts du Tribunal fédéral 2C_779/2016 du 13 septembre 2016 consid. 4.2; 2C_789/2014 du 20 février 2015 consid. 2.2.2).</w:t>
      </w:r>
    </w:p>
    <w:p>
      <w:r>
        <w:rPr>
          <w:b/>
        </w:rPr>
        <w:t>E. 2.7</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 /regulariser-mon-statut-sejour-cadre-papyrus/criteres-respecter), avoir un emploi;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De jurisprudence constante, la Chambre administrative a considéré que l'« opération Papyrus », qui a pris fin le 31 décembre 2018,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pouvaient entrer en ligne de compte pour l'examen desdites raisons personnelles majeures ( ATA/584/2017 du 23 mai 2017 consid. 4c). Ces conditions devaient être remplies au moment du dépôt de la demande d’autorisation de séjour (cf. notamment ATA/755/2023 du 11 juillet 2023 consid. 3.4; ATA/721/2023 du 4 juillet 2023 consid. 3.3; ATA/467/2023 du 2 mai 2023 consid. 3.3; ATA/463/2023 du 2 mai 2023 consid. 2.3; ATA/388/2023 du 18 avril 2023 consid. 3.3; ATA/122/2023 du 7 février 2023 consid. 4c; ATA/121/2021 du 2 février 2021 consid. 8b).</w:t>
      </w:r>
    </w:p>
    <w:p>
      <w:r>
        <w:rPr>
          <w:b/>
        </w:rPr>
        <w:t>E. 2.8</w:t>
      </w:r>
    </w:p>
    <w:p>
      <w:r>
        <w:t>En l'espèce, il est constant qu'au moment du dépôt de la demande d'autorisation de séjour, la recourante ne séjournait pas depuis dix ans en Suisse. Elle soutient qu'il se justifie de prendre en considération la durée de son séjour au moment où l'OCPM a pris sa décision, soit en juin 2022. Cette argumentation ne saurait être suivie. En effet, et à teneur de la jurisprudence constante tant du Tribunal fédéral que de la chambre administrative, l'examen de la durée du séjour doit se faire au moment du dépôt de la demande d'autorisation. Le jugement JTAPI/820/2023 rendu le 7 juillet 2023 par le TAPI, cité par la recourante, ne lui est n'est d'aucun secours. Ce cas n'est en effet pas comparable au sien dès lors qu'il est question de la régularisation du séjour d'une famille, avec deux enfants scolarisés, examinée également sous l'angle du regroupement familial. Il ne peut par ailleurs pas être considéré qu'il s'agirait d'un changement de jurisprudence concernant le calcul du délai de dix ans de séjour de l'étranger dans l'examen d'un cas de rigueur. Il s'ensuit que la durée de séjour ininterrompu en Suisse susmentionnée doit être réalisée lors du dépôt de la demande d'autorisation de séjour, et non durant la procédure d'autorisation. Certes, la recourante séjournait depuis neuf ans et demi lors du dépôt de sa demande. Cela étant, et comme l'a retenu à bon droit le TAPI, même si ce séjour peut être qualifié de relativement long, il n'est pas suffisant, sans qu'il n'existent d'autres circonstances tout à fait exceptionnelles. En particulier, la recourante ne peut se prévaloir d'une intégration socio‑professionnelle remarquable ou exceptionnelle. Si, certes, elle est indépendante financièrement, n'a pas de dettes et n'a pas émargé à l'aide sociale, cette indépendance économique est un aspect qui peut en principe être attendu de tout étranger désireux de s'établir durablement en Suisse et ne constitue donc pas un élément extraordinaire en faveur de la recourante. Par ailleurs, elle n'est pas investie personnellement dans la vie sociale, associative, sportive ou culturelle genevoise. De plus, les activités de la recourante, qui travaille dans le secteur de l'économie domestique, ne sont pas constitutives d'une ascension professionnelle remarquable et ne l'ont pas conduite à acquérir des connaissances professionnelles spécifiques à la Suisse. La recourante pourra d'ailleurs mettre à profit dans son pays d'origine l'expérience professionnelle qu'elle a acquise. Il n'apparaît en outre pas que la recourante se soit créé des attaches particulièrement étroites avec la Suisse au point de rendre étranger son pays d'origine. En effet, elle n'est arrivée en Suisse qu'à l'âge de 31 ans et a donc vécu toute son enfance, son adolescence et le début de sa vie d'adulte aux Philippines, de sorte que la Cour ne saurait admettre que les années passées en Suisse soient déterminantes pour la formation de sa personnalité, et, partant, pour son intégration socio-culturelle. La recourante maîtrise la langue de son pays d'origine. Contrairement à ce qu'elle soutient, la situation aurait été la même si son cas avait été traité dans le cadre de l'« opération Papyrus ». En effet, la durée du séjour n'aurait pas permis à elle seule de conclure que les conditions d'octroi d'une autorisation de séjour pour cas d'extrême gravité auraient été remplies, pour les motifs qui précèdent (absence d'intégration sociale remarquable, famille dans le pays d'origine, etc.). Dans ces circonstances, il n'apparaît pas que les difficultés auxquelles la recourante devrait faire face en cas de retour aux Philippines seraient pour elle plus graves que pour la moyenne des étrangers, en particulier des ressortissants philippins retournant dans leur pays, même s'il ne peut être nié qu'un retour pourra engendrer pour elle certaines difficultés de réadaptation. Par conséquent, au vu de l'ensemble des éléments qui précèdent, c'est à bon droit que tant l'OCPM que le TAPI ont retenu que la recourante ne remplissait pas les conditions restrictives permettant d'octroi d'une autorisation de séjour pour cas de rigueur. Le recours sera dès lors rejeté.</w:t>
      </w:r>
    </w:p>
    <w:p>
      <w:r>
        <w:rPr>
          <w:b/>
        </w:rPr>
        <w:t>E. 3</w:t>
      </w:r>
    </w:p>
    <w:p>
      <w:r>
        <w:t>Il convient encore d'examiner si le renvoi prononcé par l'OCPM est fondé.</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3.3</w:t>
      </w:r>
    </w:p>
    <w:p>
      <w:r>
        <w:t>Dans le présent cas, et dès lors qu'il a, à juste titre, refusé l'octroi d'une autorisation de séjour à la recourante, l'intimé devait prononcer son renvoi. La recourante n'invoque aucun élément permettant de retenir que son renvoie ne serait pas possible, licite ou ne pourrait raisonnablement être exigé. De tels éléments ne ressortent pas non plus du dossier.</w:t>
      </w:r>
    </w:p>
    <w:p>
      <w:r>
        <w:rPr>
          <w:b/>
        </w:rPr>
        <w:t>E. 4</w:t>
      </w:r>
    </w:p>
    <w:p>
      <w:r>
        <w:t>Vu l'issue du recours, un émolument de CHF 400.- sera mis à la charge de la recourante et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