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A/2733/2014 vom 24. November 2015</w:t>
      </w:r>
    </w:p>
    <w:p>
      <w:r>
        <w:t>GE Cour de justice, 2015-11-24, FR</w:t>
      </w:r>
    </w:p>
    <w:p>
      <w:r>
        <w:rPr>
          <w:b/>
        </w:rPr>
        <w:t xml:space="preserve">Quelle: </w:t>
      </w:r>
      <w:r>
        <w:t>https://mcp.opencaselaw.ch/entscheid/ge_gerichte_A_2733_2014</w:t>
      </w:r>
    </w:p>
    <w:p>
      <w:r>
        <w:t>FR: GE_GERICHTE A/2733/2014 du 24 novembre 2015</w:t>
      </w:r>
    </w:p>
    <w:p>
      <w:r>
        <w:t>IT: GE_GERICHTE A/2733/2014 del 24 novembre 2015</w:t>
      </w:r>
    </w:p>
    <w:p>
      <w:pPr>
        <w:pStyle w:val="Heading2"/>
      </w:pPr>
      <w:r>
        <w:t>Erwägungen</w:t>
      </w:r>
    </w:p>
    <w:p>
      <w:r>
        <w:rPr>
          <w:b/>
        </w:rPr>
        <w:t>E. 2</w:t>
      </w:r>
    </w:p>
    <w:p>
      <w:r>
        <w:t>Le litige porte sur le droit du recourant à des prestations de la part de l’intimée au-delà du 22 janvier 2014 pour les suites de l’accident qu’il a subi le 8 janvier 2014. Il doit être tranché au regard de la LAA et, dans la mesure de son applicabilité (art. 1 al. 1 LAA), de la LPGA. Comme pour les questions de procédure, les dispositions de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122 V 230 consid. 1 et les références). En vertu d’une délégation de compétence figurant à l’art. 6 al. 2 LAA, visant à éviter, au profit des assurés, la distinction souvent difficile entre maladie et accident, le Conseil fédéral a assimilé à un accident – donc inclus dans l’assurance-accidents – les lésions corporelles suivantes, énumérées exhaustivement à l’art. 9 al. 2 de l’ordonnance sur l’assurance-accidents, du 20 décembre 1982 (OLAA - RS 832.202), pour autant qu’elles ne soient pas manifestement imputables à une maladie ou à des phénomènes dégénératifs, et même si elles ne sont pas causées par un facteur extérieur de caractère extraordinaire : les fractures, les déboîtements d’articulations, les déchirures du ménisque, les déchirures de muscles, les élongations de muscles, les déchirures de tendons, les lésions de ligaments et les lésions du tympan.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b. Le droit à des prestations découlant d'un accident assuré suppose d'abord un lien de causalité naturelle entre l'événement dommageable de caractère accidentel et l'atteinte à la santé. Cette exigence est remplie lorsqu'il y a lieu d'admettre que, sans cet événement accidentel, le dommage ne se serait pas produit du tout ou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Les lésions assimilées à un accident, selon l’art. 9 al. 2 OLAA, le sont même si elles ont, pour l’essentiel, une origine vraisemblablement maladive ou dégénérative, pour autant qu’une cause extérieure ait, au moins, déclenché les symptômes dont souffre l’assuré (ATF 129 V 466 , 123 V 43 consid. 2b).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voulant qu’en matière d’assurances sociales les faits retenus soient ceux qui, à défaut le cas échéant d’être irréfutables, paraissent les plus probables parmi tous les éléments de fait allégués ou envisageables (ATF 130 III 321 consid. 3.2 et 3.3 ; 126 V 353 consid. 5b ; ATF 126 V 319 consid. 5a ; 125 V 193 consid. 2).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Demeure toutefois réservé le cas des lésions assimilées à un accident (art. 6 al. 2 LAA ; art. 9 al. 2 OLAA), qui le sont – et le restent – tant que leur origine maladive ou dégénérative n’est pas clairement établie, au-delà du degré de vraisemblance prépondérante (arrêts du Tribunal fédéral 8C_381/2014 du 11 juin 2015 ; 8C_846/2014 du 23 avril 2015 consid. 3.2 ; 8C_578/2013 du 13 août 2014 consid. 2.2 ; 8C_381/2014 du 11 juin 2014 consid. 3.2).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w:t>
      </w:r>
    </w:p>
    <w:p>
      <w:r>
        <w:rPr>
          <w:b/>
        </w:rPr>
        <w:t>E. 4</w:t>
      </w:r>
    </w:p>
    <w:p>
      <w:r>
        <w:t>a. Le devoir qu’a l'assurance-accidents d'allouer des prestations lorsque le lien de causalité a été établi cesse lorsque l'accident ne constitue plus la cause naturelle et adéquate du dommage, question qu’il y a lieu d’examiner en principe selon le critère de la vraisemblance prépondérante, usuel en matière de preuve dans le domaine des assurances sociales, le cas des lésions assimilées à un accident restant réservé (cf. ci-dessus consid. 3b). Ainsi,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 8C_552/2007 du 19 février 2008 consid. 2). La simple possibilité que l'accident n'ait plus d'effet causal ne suffit pas à justifier la cessation du versement des prestations (ATF 126 V 360 consid. 5b ; 125 V 195 consid. 2 ; RAMA 2000 n. U 363 p. 46). b. 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Il peut ainsi liquider le cas en invoquant le fait qu'un événement assuré - selon une appréciation correcte de la situation - n'est jamais survenu (ATF 130 V 380 ).</w:t>
      </w:r>
    </w:p>
    <w:p>
      <w:r>
        <w:rPr>
          <w:b/>
        </w:rPr>
        <w:t>E. 5</w:t>
      </w:r>
    </w:p>
    <w:p>
      <w:r>
        <w:t>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bb.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 il y a lieu de mettre en œuvre une expertise par un médecin indépendant selon la procédure de l'art. 44 LPGA ou une expertise judiciaire (ATF 135 V 465 consid. 4 ; arrêt du Tribunal fédéral 8C_923/2010 du 2 novembre 2011 consid. 5.2). cc. Une appréciation médicale, respectivement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dd. En ce qui concerne les rapports établis par les médecins traitants, le juge peut et doit tenir compte du fait que, selon l'expérience, le médecin traitant peut être enclin, en cas de doute, à prendre parti pour son patient en raison de la relation de confiance qu’ils ont nouée entre eux (ATF 125 V 351 consid. 3b/cc ; arrêt du Tribunal fédéral des assurances I 244/05 du 3 mai 2006 consid. 2.1).</w:t>
      </w:r>
    </w:p>
    <w:p>
      <w:r>
        <w:rPr>
          <w:b/>
        </w:rPr>
        <w:t>E. 6</w:t>
      </w:r>
    </w:p>
    <w:p>
      <w:r>
        <w:t>Dans le domaine des assurances sociales notamment, la procédure est régie par le principe inquisitoire, selon lequel il appartient à l’administration, respectivement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le fardeau de la preuve n'appartient pas à l'assuré mais à l'assureur (RAMA 2000 n. U 363 p. 46 consid. 2 ; arrêt du Tribunal fédéral des assurances U 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nécessairement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w:t>
      </w:r>
    </w:p>
    <w:p>
      <w:r>
        <w:rPr>
          <w:b/>
        </w:rPr>
        <w:t>E. 7</w:t>
      </w:r>
    </w:p>
    <w:p>
      <w:r>
        <w:t>En l’espèce, alors que tant l’IRM du 22 janvier 2014 que l’opération du 31 janvier 2014 avaient déjà été effectuées, l’intimée s’était engagé, le 3 février 2014, à prendre en charge le séjour hospitalier du recourant pour ladite opération, sans faire de réserve s’agissant des autres prestations qu’elle serait appelée à fournir en lien avec l’événement du 8 janvier 2014 au titre de l’assurance-accidents, en particulier les frais médicaux et la perte de salaire. C’est par la suite que, sur la base de l’avis de son médecin-conseil du 21 février 2014, l’intimée a décidé, le 17 mars 2014, de mettre un terme à ses prestations avec effet rétroactif au 17 janvier 2014, échéance reportée au 22 janvier 2014 par la décision sur opposition du 4 août 2014, présentement attaquée. Selon elle, l’accident n’avait causé qu’une aggravation temporaire d’un état maladif préexistant, en l’occurrence de nature dégénérative, et ce pour une durée de deux semaines ; dès le 23 janvier 2014, les troubles du recourant relevaient le cas échéant de l’assurance-maladie, mais plus de l’assurance-accident. Le recourant est de l’avis contraire que, notamment, l’opération du 31 janvier 2014 a été nécessaire pour soigner les suites de l’accident, eu égard aux douleurs mais aussi aux limitations fonctionnelles qu’il éprouvait à la suite et en raison de cet accident, même s’il était possible qu’une atteinte dégénérative préexistante, jusqu’alors indolore et non handicapante, ait exercé une influence sur la survenance des lésions.</w:t>
      </w:r>
    </w:p>
    <w:p>
      <w:r>
        <w:rPr>
          <w:b/>
        </w:rPr>
        <w:t>E. 8</w:t>
      </w:r>
    </w:p>
    <w:p>
      <w:r>
        <w:t>Il n’est pas en soi décisif, en l’espèce, que les avis des parties s’appuient sur des rapports médicaux émanant respectivement du médecin traitant du recourant et du médecin-conseil de l’intimée. Quand bien même la jurisprudence incline en général à faire montre d’une certaine circonspection à l’endroit de rapports établis par le médecin traitant d’un assuré en considération du lien de confiance liant le médecin traitant à son patient, alors qu’elle relève que le lien du médecin-conseil à l’égard de l’assureur (soit un lien de subordination s’il en est l’employé) ne rejaillit pas forcément sur l’indépendance de ses avis médicaux, il n’y a pas en l’occurrence de raison de donner a priori plus de crédit à l’un ou l’autre des deux médecins considérés en raison de leur lien avec respectivement l’assuré et l’assureur. Il sied aussi de relever que les deux médecins considérés sont des médecins spécialistes en chirurgie orthopédique ; une absence de spécialisation dans la discipline médicale dans laquelle la question à trancher se pose tendrait à affaiblir l’avis émis par un médecin ne l’ayant pas. C’est au regard du contenu des rapports médicaux – autrement dit du point de savoir lesquels fournissent une étude fouillée des points litigieux, fondée sur des examens complets, prenant en compte les plaintes de l’intéressé, effectuée en connaissance de cause du dossier, et comportent des conclusions convaincantes – qu’il faudrait pouvoir déterminer lequel des avis médicaux considérés doit se voir reconnaître la plus forte valeur probante. À défaut de pouvoir le faire, parce que subsisteraient des doutes sur la fiabilité et la pertinence desdits avis ne permettant pas de dissiper des divergences les opposant, la chambre de céans devrait poursuivre l’instruction, voire ordonner une expertise. Encore faudrait-il, cependant, que cela soit nécessaire pour résoudre les questions pertinentes.</w:t>
      </w:r>
    </w:p>
    <w:p>
      <w:r>
        <w:rPr>
          <w:b/>
        </w:rPr>
        <w:t>E. 9</w:t>
      </w:r>
    </w:p>
    <w:p>
      <w:r>
        <w:t>a. En l’espèce, force est de relever que l’avis du médecin-conseil de l’intimée, repris à son compte par cette dernière, n’apparaît pas convaincant en tant qu’il minimise manifestement, sinon ignore tout simplement sous prétexte de subjectivité (ou de défaut d’objectivation), les vives douleurs, en elles-mêmes handicapantes, en plus des limitations fonctionnelles l’étant aussi, que le recourant a respectivement ressenties et présentées de façon crédible dans le court laps de temps entre l’accident du 8 janvier 2014 et l’opération du 31 janvier 2014, mais ni auparavant ni ultérieurement. Sans doute ne suffit-il pas que des symptômes douloureux se soient manifestés après la survenance d’un accident pour qu’un lien de causalité naturelle avec ce dernier puisse être retenu. Cela relève néanmoins d’une défense fort peu convaincante, ayant des relents de partialité jetant un certain discrédit sur les avis émis, d’objecter qu’un accidenté n’est pas à même de présenter des résultats d’examens médicaux antérieurs à l’accident dans la mesure où, ne ressentant ni douleur ni limitation fonctionnelle, il n’avait alors aucune raison de consulter un médecin et de se soumettre à de tels examens, en quelque sorte préventivement, à seules fins de pouvoir démontrer que des douleurs et limitations fonctionnelles qu’il aurait le cas échéant en cas d’accident, par définition non prévisible, devraient être imputées à l’accident, et non à une maladie ignorée. Jointe à la brièveté du laps de temps s’étant écoulé entre l’accident et l’opération (soit trois semaines), la considération que les douleurs et les limitations fonctionnelles n’étaient pas présentes avant l’accident et ont disparu après l’opération commande de relativiser la portée du moyen de défense tiré de la non-applicabilité de l’adage « post hoc ergo propter hoc ». Le fait que le recourant n’a pas consulté immédiatement un médecin et s’est efforcé de ne pas arrêter de travailler, en dépit de ses douleurs et limitations fonctionnelles, ne saurait en l’espèce se retourner contre lui. Enfin, le médecin-conseil de l’intimée n’a aucunement justifié la limitation à deux semaines seulement de la durée de ce qui n’était selon lui qu’une aggravation temporaire d’un problème dégénératif à caractère maladif, ni avancé d’argument un tant soit peu crédible en faveur de la survenance d’un statu quo sine dès le 23 janvier 2014 (autrement dit d’une apparition dès cette date, en l’absence de l’accident du 8 janvier 2014, de douleurs et de limitations fonctionnelles que le recourant n’avait jusqu’alors respectivement pas ressenties et présentées), étant ajouté qu’il n’a pas soutenu qu’il y avait eu retour à un statu quo ante dès cette date. Il s’est contenté d’affirmer sa conviction qu’une opération aurait été incontournable, dans un délai qu’il s’est cependant gardé de préciser. Il paraît difficile de ne voir qu’un élément fortuit dans le fait que cette limitation à deux semaines, fixée rétroactivement, de la prétendue aggravation temporaire d’un état maladif dégénératif antérieur a pour effet que l’opération du recourant tombe en dehors de ladite période, et, partant, ne doive pas être à la charge de l’intimée. b. La chambre de céans n’exclut pas pour autant que certaines des remarques que le médecin-conseil de l’intimée a faites à l’endroit des rapports du médecin traitant aient quelque pertinence, en particulier en tant que ce dernier, dans son rapport du 30 septembre 2015, paraissait nier l’existence d’une gonarthrose, alors qu’il en avait fait mention dans son rapport du 15 octobre 2014 et que l’opération avait comporté un geste médical servant à traiter une gonarthrose. Il n’est pas impossible qu’un complément d’instruction, voire une expertise devraient être ordonnés s’il s’agissait de déterminer si et dans quelle mesure la déchirure méniscale complexe constatée était due, au degré de vraisemblance prépondérante (soit dans la perspective retenue par l’intimée), à l’événement accidentel du 8 janvier 2014. Telle n’est toutefois pas la question pertinente.</w:t>
      </w:r>
    </w:p>
    <w:p>
      <w:r>
        <w:rPr>
          <w:b/>
        </w:rPr>
        <w:t>E. 10</w:t>
      </w:r>
    </w:p>
    <w:p>
      <w:r>
        <w:t>a. En effet, il est avéré que le recourant a présenté une déchirure du ménisque, à savoir une lésion a priori à assimiler à un accident (art. 9 al. 1 let. c OLAA), si bien que la question est de savoir si – de façon clairement établie, donc au-delà du degré de vraisemblance prépondérante – elle est manifestement imputable à une maladie ou des phénomènes dégénératifs, auquel cas cette assimilation devrait être niée ou prendre fin. En l’espèce, il n’est pas contestable que le recourant était atteint, sans en souffrir, de troubles arthrosiques dégénératifs déjà avant son accident du 8 janvier 2014, et il est par ailleurs indéniable que ce dernier a pour le moins aggravé la situation et déclenché les symptômes que le recourant a dès lors présentés en termes de douleurs et de limitations fonctionnelles. Or, une lésion assimilée à un accident l’est même si elle a, pour l’essentiel, une origine vraisemblablement maladive ou dégénérative, pour autant qu’une cause extérieure ait au moins déclenché les symptômes dont souffre l’assuré, ce qui est le cas en l’occurrence. C’est donc à juste titre que l’intimée a accepté initialement d’intervenir. Elle ne pouvait mettre un terme à sa prise en charge du cas que si et à partir de la date à laquelle il était le cas échéant établi que cette cause extérieure ne jouait manifestement plus aucun rôle dans la poursuite des troubles présentés par le recourant et qu’il était ainsi certain que ces derniers ne s’expliquaient plus que pas des causes exclusivement étrangères à l’accident. Or, force est de nier que cette condition était réalisée dès le 23 janvier 2014 et en particulier avant que l’opération n’avait été effectuée et avait produit ses effets guérisseurs. b. En effet, dans son rapport du 21 février 2014, le médecin-conseil de l’intimée n’a évoqué qu’une probabilité que l’événement accidentel expliquât la poursuite des troubles présentés par le recourant au-delà du 17 janvier 2014 (date corrigée par la suite en 22 janvier 2014), alors que, prenant position le 10 avril 2014 sur cette détermination, le médecin traitant a attribué la déchirure complexe de la corne postérieure du ménisque interne du recourant à 100 % à l’accident du 8 janvier 2014. Encore dans son rapport de juillet 2014, le médecin-conseil de l’intimée a indiqué que ce dernier n’avait causé, « selon toute vraisemblance », qu’une aggravation temporaire et non déterminante d’une situation arthrosique préexistante. Dans son rapport du 15 octobre 2014, le médecin traitant a dit certes ne pas pouvoir affirmer que la déchirure complexe du ménisque interne qu’avait eue le recourant était liée uniquement à l’accident considéré, mais il a précisé que si le ménisque interne du recourant avait effectivement des déchirures dégénératives préalables, il était « probablement certain » que l’accident avait complété une déchirure et surtout luxé un fragment du ménisque. Dans son rapport du 30 septembre 2015, ledit médecin a affirmé que l’opération du 31 janvier 2014 n’aurait « absolument pas eu lieu » sans l’événement accidentel du 8 janvier 2014, et que l’épanchement intra-articulaire constaté cliniquement parlait en faveur d’une inflammation du genou occasionnée par une lésion méniscale importante « sans rapport aucun avec une origine dégénérative ». Enfin, même encore dans son rapport du 9 novembre 2015, le médecin-conseil de l’intimée a émis l’avis qu’il n’était pas établi « au degré de vraisemblance prépondérante » que l’accident considéré était à l’origine de la déchirure méniscale complexe du recourant. c. Il n’est ainsi pas établi de façon certaine que la poursuite des troubles présentés par le recourant au-delà du 22 janvier 2014 et l’opération du 31 janvier 2014 n’ont pas de lien de causalité avec l’événement accidentel du 8 janvier 2014. De plus, comme la chambre de céans l’a déjà relevé (consid. 9a), l’argument que lesdits troubles (les douleurs, mais aussi les limitations fonctionnelles) sont apparus avec cet accident et ont disparu après l’opération plaident en défaveur de la cessation de causalité retenue par l’intimée. Il sied en outre de relever que l’événement du 8 janvier 2014 n’a pas tenu qu’à une glissade ayant amené le recourant au sol, mais a comporté une chute d’une hauteur d’un mètre et demi, ce qui renforce, en termes de simple bon sens, la thèse soutenue par le médecin traitant du recourant. La décision attaquée est mal fondée.</w:t>
      </w:r>
    </w:p>
    <w:p>
      <w:r>
        <w:rPr>
          <w:b/>
        </w:rPr>
        <w:t>E. 11</w:t>
      </w:r>
    </w:p>
    <w:p>
      <w:r>
        <w:t>Il n’est dès lors pas nécessaire d’examiner si cette décision serait valable au regard du principe de la bonne foi, eu égard à la garantie de prise en charge que l’intimée a donnée au recourant le 3 février 2014.</w:t>
      </w:r>
    </w:p>
    <w:p>
      <w:r>
        <w:rPr>
          <w:b/>
        </w:rPr>
        <w:t>E. 12</w:t>
      </w:r>
    </w:p>
    <w:p>
      <w:r>
        <w:t>Le recours sera donc admis, et la décision sur opposition attaquée annulée (ce qui ne fait pas revivre la décision du 17 mars 2014). Il appartient à l’intimée, comme assureur-accidents, de prendre en charge les suites de l’événement du 8 janvier 2014 au-delà du 22 janvier 2014, jusqu’à une date qu’il n’incombe pas à la chambre de céans de préciser ici autrement qu’en disant qu’elle est postérieure au 31 janvier 2014, donc à l’opération subie par le recourant.</w:t>
      </w:r>
    </w:p>
    <w:p>
      <w:r>
        <w:rPr>
          <w:b/>
        </w:rPr>
        <w:t>E. 13</w:t>
      </w:r>
    </w:p>
    <w:p>
      <w:r>
        <w:t>La procédure étant gratuite (art. 61 let. a LPGA), il ne sera pas perçu d’émolument. Le recourant obtenant gain de cause, une indemnité de procédure lui sera allouée, d’un montant de  CHF 1'500.- (art. 61 let. g LPGA ; art. 89H LPA ; art. 6 du règlement sur les frais, émoluments et indemnités en procédure administrative du 30 juillet 1986 - E 5 10.03), à la charge de l’intimée. *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