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A/272/2019 vom 30. Juni 2020</w:t>
      </w:r>
    </w:p>
    <w:p>
      <w:r>
        <w:t>GE Cour de justice, 2020-06-30, FR</w:t>
      </w:r>
    </w:p>
    <w:p>
      <w:r>
        <w:rPr>
          <w:b/>
        </w:rPr>
        <w:t xml:space="preserve">Quelle: </w:t>
      </w:r>
      <w:r>
        <w:t>https://mcp.opencaselaw.ch/entscheid/ge_gerichte_A_272_2019</w:t>
      </w:r>
    </w:p>
    <w:p>
      <w:r>
        <w:t>FR: GE_GERICHTE A/272/2019 du 30 juin 2020</w:t>
      </w:r>
    </w:p>
    <w:p>
      <w:r>
        <w:t>IT: GE_GERICHTE A/272/2019 del 30 giugno 2020</w:t>
      </w:r>
    </w:p>
    <w:p>
      <w:pPr>
        <w:pStyle w:val="Heading2"/>
      </w:pPr>
      <w:r>
        <w:t>Regeste</w:t>
      </w:r>
    </w:p>
    <w:p>
      <w:r>
        <w:t>PERMIS DE CONSTRUIRE;INDICE D'UTILISATION;ZONE DE VILLAS;PLAN DIRECTEUR;FORCE OBLIGATOIRE(SENS GÉNÉRAL) | Recours de la commune contre le jugement du TAPI confirmant la délivrance d'une autorisation de construire un habitat groupé sur deux parcelles contigües. Absence d'effet contraignant du plan directeur communal encore non adopté ni approuvé par le Conseil d'État. Le DT n'a pas abusé de son pouvoir d'appréciation en suivant les préavis favorables des instances spécialisées au détriment du préavis défavorable de la commune. Pour le calcul du rapport des surfaces, il est conforme au droit de prendre en compte la totalité des deux parcelles, indépendamment d'une réunion parcellaire et sans devoir exiger la constitution d'une servitude. Les balcons au-dessus des terrasses, sans emprise au sol supplémentaire, ne doivent pas être pris en compte dans le calcul des constructions de peu d'importance. Recours rejeté. | cst..29.al2; LCI.59.al4.leta; LaLAT.10; RCI.3.al3; LCI.59.al7</w:t>
      </w:r>
    </w:p>
    <w:p>
      <w:pPr>
        <w:pStyle w:val="Heading2"/>
      </w:pPr>
      <w:r>
        <w:t>Erwägungen</w:t>
      </w:r>
    </w:p>
    <w:p>
      <w:r>
        <w:rPr>
          <w:b/>
        </w:rPr>
        <w:t>E. 2</w:t>
      </w:r>
    </w:p>
    <w:p>
      <w:r>
        <w:t>, comme l'a, à juste titre, constaté le TAPI, de sorte que les règles en matière de CDPI sont respectées. Par conséquent, le grief est mal fondé et sera écarté. 9) Dans ces circonstances, le jugement du TAPI confirmant la décision de l'autorité intimée est conforme au droit et le recours à son encontre, entièrement mal fondé, sera rejeté. 10) Vu l'issue du litige, un émolument de CHF 2'000.- sera mis à la charge de la recourante, qui n'a pas agi en tant qu'autorité défendant sa propre décision (art. 87 al. 1 LPA). Une indemnité de procédure de CHF 2'000.- sera allouée à la requérante,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