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A/2726/2023 vom 2. September 2025</w:t>
      </w:r>
    </w:p>
    <w:p>
      <w:r>
        <w:t>GE Cour de justice, 2025-09-02, FR</w:t>
      </w:r>
    </w:p>
    <w:p>
      <w:r>
        <w:rPr>
          <w:b/>
        </w:rPr>
        <w:t xml:space="preserve">Quelle: </w:t>
      </w:r>
      <w:r>
        <w:t>https://mcp.opencaselaw.ch/entscheid/ge_gerichte_A_2726_2023</w:t>
      </w:r>
    </w:p>
    <w:p>
      <w:r>
        <w:t>FR: GE_GERICHTE A/2726/2023 du 2 septembre 2025</w:t>
      </w:r>
    </w:p>
    <w:p>
      <w:r>
        <w:t>IT: GE_GERICHTE A/2726/2023 del 2 settembre 2025</w:t>
      </w:r>
    </w:p>
    <w:p>
      <w:pPr>
        <w:pStyle w:val="Heading2"/>
      </w:pPr>
      <w:r>
        <w:t>Regeste</w:t>
      </w:r>
    </w:p>
    <w:p>
      <w:r>
        <w:t>REMISE EN L'ÉTAT;RÉTABLISSEMENT DE L'ÉTAT ANTÉRIEUR;AMENDE;FIXATION DE L'AMENDE | Rejet du recours contre la 5ème amende fixée à CHF 10'000.- pour le non-respect d’un ordre de remise en état, prononcé plus de deux ans auparavant et non contesté, après quatre amendes d’un montant moindre pour la même raison. Rejet également du recours contre l’ordre de suppression des cabines de peintures installées, sans autorisation, en zone de développement industriel et artisanal, et utilisées par l’entreprise de carrosserie, exploitante du bâtiment. Confirmation de l’ordre de mise en conformité infligé à la propriétaire de la parcelle, perturbatrice par situation et agissant par le biais de l’architecte mandaté par ses soins. Respect du principe de proportionnalité, la propriétaire n’ayant pas déposé de demande d’autorisation visant à régulariser l’installation des cabines de peinture, bien que le département l’ait invitée à le faire. | LCI.137.al1.letc; LCI.129.lete</w:t>
      </w:r>
    </w:p>
    <w:p>
      <w:pPr>
        <w:pStyle w:val="Heading2"/>
      </w:pPr>
      <w:r>
        <w:t>Erwägungen</w:t>
      </w:r>
    </w:p>
    <w:p>
      <w:r>
        <w:rPr>
          <w:b/>
        </w:rPr>
        <w:t>E. 3</w:t>
      </w:r>
    </w:p>
    <w:p>
      <w:r>
        <w:t>La recourante conteste également l’ordre de supprimer les cabines de peinture pour les différents motifs susmentionnés.</w:t>
      </w:r>
    </w:p>
    <w:p>
      <w:r>
        <w:rPr>
          <w:b/>
        </w:rPr>
        <w:t>E. 3.1</w:t>
      </w:r>
    </w:p>
    <w:p>
      <w:r>
        <w:t>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w:t>
      </w:r>
    </w:p>
    <w:p>
      <w:r>
        <w:rPr>
          <w:b/>
        </w:rPr>
        <w:t>E. 3.1.1</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w:t>
      </w:r>
    </w:p>
    <w:p>
      <w:r>
        <w:rPr>
          <w:b/>
        </w:rPr>
        <w:t>E. 3.1.2</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w:t>
      </w:r>
    </w:p>
    <w:p>
      <w:r>
        <w:rPr>
          <w:b/>
        </w:rPr>
        <w:t>E. 3.2</w:t>
      </w:r>
    </w:p>
    <w:p>
      <w:r>
        <w:t>Selon la jurisprudence de la chambre de céans ( ATA/828/2024 du 9 juillet 2024 consid. 5.5 ; ATA/1399/2019 du 17 septembre 2019 consid. 3f), le département peut, s’il constate que des travaux ou modifications énumérés à l’art. 1 al. 1 LCI ont apparemment été effectués sans qu’une autorisation ait été requise, ordonner au propriétaire et autres usagers au sens de l’art. 131 LCI de déposer une requête en autorisation afin de régulariser la situation. La légalité d’une telle injonction, reposant sur les art. 1 al. 1 et 129 LCI, a été confirmée par le Tribunal fédéral (arrêt du Tribunal fédéral 1C_557/2019 du 21 avril 2020 consid. 2.4). Cette manière de procéder concrétise le principe de proportionnalité s’imposant au département lorsqu’il prend des mesures fondées sur l’art. 129 LCI, en particulier un éventuel ordre de remise en état en application de l’art. 129 let. e LCI : elle permet en effet de favoriser une régularisation progressive d’une situation potentiellement non conforme au sens de l’art. 130 LCI, en donnant notamment aux personnes intéressées la possibilité de s’exprimer et de collaborer à cette régularisation ( ATA/1399/2019 précité consid. 3f).</w:t>
      </w:r>
    </w:p>
    <w:p>
      <w:r>
        <w:rPr>
          <w:b/>
        </w:rPr>
        <w:t>E. 3.3</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3.4</w:t>
      </w:r>
    </w:p>
    <w:p>
      <w:r>
        <w:t>De jurisprudence constante, pour être valable, un ordre de mise en conformité doit respecter cinq conditions cumulatives : 1) l'ordre doit être dirigé contre le perturbateur ; 2) les installations en cause ne doivent pas avoir été autorisées en vertu du droit en vigueur au moment de leur réalisation ; 3) un délai de plus de trente ans ne doit pas s'être écoulé depuis l'exécution des travaux litigieux, sauf en zone agricole où la prescription ne court pas (arrêt du Tribunal fédéral 1C_469/2019 du 28 avril 2021 consid. 4 et 5) ; 4) l'autorité ne doit pas avoir créé chez l'administré concerné, que ce soit par des promesses, par des infractions, des assurances ou encore un comportement des conditions telles qu'elle serait liée par la bonne foi ; 5) l'intérêt public au rétablissement d'une situation conforme au droit doit l'emporter sur l'intérêt privé de l'intéressé au maintien des installations litigieuses ( ATA/330/2021 du 16 mars 2021 consid. 3c et les références citées).</w:t>
      </w:r>
    </w:p>
    <w:p>
      <w:r>
        <w:rPr>
          <w:b/>
        </w:rPr>
        <w:t>E. 3.4.1</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autres mesures administratives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3.4.2</w:t>
      </w:r>
    </w:p>
    <w:p>
      <w:r>
        <w:t>De jurisprudence constante, les mesures nécessaires à éliminer une situation contraire au droit doivent être dirigées contre le perturbateur (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 e éd., 2018, n. 563). En l’absence d’urgence, la chambre administrative a déjà jugé que le département conservait une marge d’appréciation entière et pouvait s’adresser au propriétaire qui avait loué les locaux afin d’éliminer la perturbation. Le propriétaire était responsable de l’utilisation conforme au droit de son bâtiment et pouvait donc être tenu d’éliminer les irrégularités en tant que perturbateur par situation, même si l’exploitant était perturbateur par comportement ( ATA/827/2024 du 9 juillet 2024 consid. 3.2).</w:t>
      </w:r>
    </w:p>
    <w:p>
      <w:r>
        <w:rPr>
          <w:b/>
        </w:rPr>
        <w:t>E. 3.5</w:t>
      </w:r>
    </w:p>
    <w:p>
      <w:r>
        <w:t>En l’espèce, il découle clairement de l’art. 1 RCI, en particulier let. e, que les cabines de peinture sont soumises à autorisation. Or, il n’est pas contesté qu’aucune demande d’autorisation n’a été déposée auprès du département pour régulariser la présence des cabines de peinture, comme l’a constaté le TAPI en audience. Ainsi, les deux premières conditions de validité d’un ordre de remise en état sont réalisées. En effet, la SA est la propriétaire de la parcelle litigieuse et, de ce fait, perturbatrice par situation. Le fait que la personne exploitant l’entreprise sise sur sa parcelle pourrait être également en mesure d’exécuter l’ordre litigieux de remise en état, n’y change rien conformément à la jurisprudence précitée, ce d’autant plus dans le contexte susmentionné visant d’autres éléments tels que la remise en état des logements créés sans autorisation. Le département n’a ainsi commis aucun excès ou abus de son pouvoir d’appréciation en adressant cet ordre à la SA, et non à l’exploitant de l’entreprise. S’agissant des trois autres conditions de validité d’un ordre de mise en conformité, seule celle liée à la prescription trentenaire est contestée. Celle-ci est susceptible de s’appliquer in casu vu que la parcelle n’est pas située en zone agricole, mais en zone à bâtir. Toutefois, il revient à la SA de le démontrer, ce que les pièces qu’elle a produites devant le TAPI ne permettent pas. En effet, le fait que les entreprises de carrosserie aient déjà existé avant son acquisition ne prouve en soi pas la présence, il y a trente ans, des cabines de peinture litigieuses sur la parcelle. Enfin, l’intérêt public au respect du droit prime l’intérêt privé au maintien desdites cabines, non seulement pour des raisons d’égalité de traitement dans la mesure où il s’agit d’éléments installés sans autorisation, mais également compte tenu de l’absence de dépôt de demande d’autorisation à cette fin. Le département peut inviter la SA à régulariser la situation des cabines de peinture en sollicitant une telle autorisation, mais ne peut l’y contraindre. Compte tenu de ces éléments, l’ordre de suppression des cabines de peinture respecte le principe de proportionnalité et doit lui aussi être confirmé. Ainsi, entièrement mal fondé, le recours doit être rejeté.</w:t>
      </w:r>
    </w:p>
    <w:p>
      <w:r>
        <w:rPr>
          <w:b/>
        </w:rPr>
        <w:t>E. 4</w:t>
      </w:r>
    </w:p>
    <w:p>
      <w:r>
        <w:t>Vu l’issue du litige, un émolument de CHF 900.- sera mis à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