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A/2702/2009 vom 4. März 2010</w:t>
      </w:r>
    </w:p>
    <w:p>
      <w:r>
        <w:t>GE Cour de justice, 2010-03-04, FR</w:t>
      </w:r>
    </w:p>
    <w:p>
      <w:r>
        <w:rPr>
          <w:b/>
        </w:rPr>
        <w:t xml:space="preserve">Quelle: </w:t>
      </w:r>
      <w:r>
        <w:t>https://mcp.opencaselaw.ch/entscheid/ge_gerichte_A_2702_2009</w:t>
      </w:r>
    </w:p>
    <w:p>
      <w:r>
        <w:t>FR: GE_GERICHTE A/2702/2009 du 4 mars 2010</w:t>
      </w:r>
    </w:p>
    <w:p>
      <w:r>
        <w:t>IT: GE_GERICHTE A/2702/2009 del 4 marzo 2010</w:t>
      </w:r>
    </w:p>
    <w:p>
      <w:pPr>
        <w:pStyle w:val="Heading2"/>
      </w:pPr>
      <w:r>
        <w:t>Regeste</w:t>
      </w:r>
    </w:p>
    <w:p>
      <w:r>
        <w:t>Révision. | Partiellement recevable, mais rejetée pour le surplus. Révision (rappel de jurisprudence). Examen de la plainte sous l'angle de la nullité. Demande dommage et intérêts. | LP:22</w:t>
      </w:r>
    </w:p>
    <w:p>
      <w:pPr>
        <w:pStyle w:val="Heading2"/>
      </w:pPr>
      <w:r>
        <w:t>Erwägungen</w:t>
      </w:r>
    </w:p>
    <w:p>
      <w:r>
        <w:rPr>
          <w:b/>
        </w:rPr>
        <w:t>E. 3</w:t>
      </w:r>
    </w:p>
    <w:p>
      <w:r>
        <w:t>S'agissant de la demande de dommages et intérêts signalée à plusieurs reprises au sein des nombreuses correspondances des plaignants, considérant que c'est à tort que cette somme a été versée à leur créancière, ce qui leur a causé un dommage, la plainte est également irrecevable pour ce second motif. Cette voie n’est, en effet, pas ouverte, faute d’intérêt digne de protection, pour faire constater par l’autorité de surveillance des carences de l'Office dans le but d’améliorer la position du plaignant dans un éventuel procès en responsabilité ou d'obtenir des dommages-intérêts (ATF 118 III 1 consid. 2b ; ATF 105 III 35 consid. 1 ; Pierre-Robert Gilliéron , Commentaire, ad art. 17 nos 141, 155 et 156 et les arrêts cités). Selon l'art. 5 al. 1 LP, le canton répond du dommage causé, d'une manière illicite, par les préposés, les employés, leurs auxiliaires, les membres des administrations spéciales de la faillite, les commissaires, les liquidateurs, les autorités de surveillance, les autorités judiciaires ainsi que par la force publique dans l'exécution des tâches que leur attribue la LP. A Genève, l'action en responsabilité est de la compétence du Tribunal de première instance. La voie de la plainte ne peut donc être utilisée pour intenter action en dommages-intérêts contre l'Etat de Genève, ni pour préparer celle-ci (art. 40A LaLP). * * * * * PAR CES MOTIFS, LA COMMISSION DE SURVEILLANCE SIÉGEANT EN SECTION : A la forme : Déclare partiellement recevable la plainte formée le 24 juillet 2009 par Mme E______, M. R______ et l'hoirie de feu L. R______ comprenant Mme E______, Mme G______, Mme R______ et M. R______ dans le cadre de la poursuite n° 01 xxxx44 W. Au fond : 1. La rejette dans la mesure de sa recevabilité. 2. Déboute les parties de toutes autres conclusions. Siégeant : M. Philippe GUNTZ, président ;  M. Didier BROSSET et Mme Florence CASTELLA, juges assesseur(e)s.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